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7"/>
        <w:contextualSpacing/>
        <w:ind w:firstLine="0"/>
        <w:jc w:val="center"/>
        <w:widowControl w:val="off"/>
        <w:rPr>
          <w:b/>
        </w:rPr>
      </w:pPr>
      <w:r>
        <w:rPr>
          <w:b/>
        </w:rPr>
        <w:t xml:space="preserve">Технические </w:t>
      </w:r>
      <w:r>
        <w:rPr>
          <w:b/>
        </w:rPr>
        <w:t xml:space="preserve">требования</w:t>
      </w:r>
      <w:r>
        <w:rPr>
          <w:b/>
        </w:rPr>
      </w:r>
      <w:r>
        <w:rPr>
          <w:b/>
        </w:rPr>
      </w:r>
    </w:p>
    <w:p>
      <w:pPr>
        <w:pStyle w:val="907"/>
        <w:contextualSpacing/>
        <w:ind w:firstLine="0"/>
        <w:jc w:val="center"/>
        <w:widowControl w:val="off"/>
        <w:rPr>
          <w:b/>
        </w:rPr>
      </w:pPr>
      <w:r>
        <w:rPr>
          <w:b/>
        </w:rPr>
        <w:t xml:space="preserve">на организацию учета электрической энергии</w:t>
      </w:r>
      <w:r>
        <w:rPr>
          <w:b/>
        </w:rPr>
      </w:r>
      <w:r>
        <w:rPr>
          <w:b/>
        </w:rPr>
      </w:r>
    </w:p>
    <w:p>
      <w:pPr>
        <w:pStyle w:val="907"/>
        <w:contextualSpacing/>
        <w:ind w:firstLine="0"/>
        <w:jc w:val="center"/>
        <w:widowControl w:val="off"/>
        <w:rPr>
          <w:b/>
        </w:rPr>
      </w:pPr>
      <w:r>
        <w:rPr>
          <w:b/>
        </w:rPr>
        <w:t xml:space="preserve">многоэтажных жилых домов</w:t>
      </w:r>
      <w:r>
        <w:rPr>
          <w:b/>
        </w:rPr>
      </w:r>
      <w:r>
        <w:rPr>
          <w:b/>
        </w:rPr>
      </w:r>
    </w:p>
    <w:p>
      <w:pPr>
        <w:pStyle w:val="907"/>
        <w:contextualSpacing/>
        <w:jc w:val="center"/>
        <w:widowControl w:val="off"/>
        <w:rPr>
          <w:b/>
        </w:rPr>
      </w:pPr>
      <w:r>
        <w:rPr>
          <w:b/>
        </w:rPr>
      </w:r>
      <w:r>
        <w:rPr>
          <w:b/>
        </w:rPr>
      </w:r>
      <w:r>
        <w:rPr>
          <w:b/>
        </w:rPr>
      </w:r>
    </w:p>
    <w:p>
      <w:pPr>
        <w:pStyle w:val="907"/>
        <w:contextualSpacing/>
        <w:ind w:firstLine="0"/>
        <w:jc w:val="center"/>
        <w:widowControl w:val="off"/>
        <w:rPr>
          <w:iCs/>
          <w:u w:val="single"/>
        </w:rPr>
      </w:pPr>
      <w:r>
        <w:rPr>
          <w:iCs/>
          <w:u w:val="single"/>
        </w:rPr>
        <w:t xml:space="preserve">___________________________________________________________________</w:t>
      </w:r>
      <w:r>
        <w:rPr>
          <w:iCs/>
          <w:u w:val="single"/>
        </w:rPr>
      </w:r>
      <w:r>
        <w:rPr>
          <w:iCs/>
          <w:u w:val="single"/>
        </w:rPr>
      </w:r>
    </w:p>
    <w:p>
      <w:pPr>
        <w:pStyle w:val="907"/>
        <w:contextualSpacing/>
        <w:jc w:val="center"/>
        <w:widowControl w:val="off"/>
        <w:rPr>
          <w:u w:val="single"/>
        </w:rPr>
      </w:pPr>
      <w:r>
        <w:rPr>
          <w:u w:val="single"/>
        </w:rPr>
      </w:r>
      <w:r>
        <w:rPr>
          <w:u w:val="single"/>
        </w:rPr>
      </w:r>
      <w:r>
        <w:rPr>
          <w:u w:val="single"/>
        </w:rPr>
      </w:r>
    </w:p>
    <w:p>
      <w:pPr>
        <w:pStyle w:val="907"/>
        <w:contextualSpacing/>
        <w:widowControl w:val="off"/>
      </w:pPr>
      <w:r/>
      <w:r/>
    </w:p>
    <w:p>
      <w:pPr>
        <w:pStyle w:val="907"/>
        <w:contextualSpacing/>
        <w:widowControl w:val="off"/>
      </w:pPr>
      <w:r/>
      <w:r/>
    </w:p>
    <w:p>
      <w:pPr>
        <w:pStyle w:val="899"/>
        <w:contextualSpacing/>
        <w:ind w:firstLine="709"/>
        <w:jc w:val="both"/>
        <w:widowControl w:val="off"/>
        <w:rPr>
          <w:szCs w:val="28"/>
        </w:rPr>
      </w:pPr>
      <w:r>
        <w:rPr>
          <w:szCs w:val="28"/>
        </w:rPr>
        <w:t xml:space="preserve">ПАО «Саратовэнерго»</w:t>
      </w:r>
      <w:r>
        <w:rPr>
          <w:szCs w:val="28"/>
        </w:rPr>
        <w:t xml:space="preserve"> сообщает, что для учета электрической энергии в жилых домах необходимо использовать </w:t>
      </w:r>
      <w:r>
        <w:rPr>
          <w:szCs w:val="28"/>
        </w:rPr>
        <w:t xml:space="preserve">интеллектуальные</w:t>
      </w:r>
      <w:r>
        <w:rPr>
          <w:szCs w:val="28"/>
        </w:rPr>
        <w:t xml:space="preserve"> приборы учета электроэнергии</w:t>
      </w:r>
      <w:r>
        <w:rPr>
          <w:szCs w:val="28"/>
        </w:rPr>
        <w:t xml:space="preserve"> утвержденного типа,</w:t>
      </w:r>
      <w:r>
        <w:rPr>
          <w:szCs w:val="28"/>
        </w:rPr>
        <w:t xml:space="preserve"> прошедшие поверку в соответствии с требованиями законодательства Российской Федерации об обеспечении единства измерений</w:t>
      </w:r>
      <w:r>
        <w:rPr>
          <w:szCs w:val="28"/>
        </w:rPr>
        <w:t xml:space="preserve">.</w:t>
      </w:r>
      <w:r>
        <w:rPr>
          <w:szCs w:val="28"/>
        </w:rPr>
      </w:r>
      <w:r>
        <w:rPr>
          <w:szCs w:val="28"/>
        </w:rPr>
      </w:r>
    </w:p>
    <w:p>
      <w:pPr>
        <w:pStyle w:val="914"/>
        <w:numPr>
          <w:ilvl w:val="0"/>
          <w:numId w:val="6"/>
        </w:numPr>
        <w:contextualSpacing/>
        <w:ind w:left="0" w:right="0" w:firstLine="709"/>
        <w:widowControl w:val="off"/>
        <w:tabs>
          <w:tab w:val="clear" w:pos="540" w:leader="none"/>
          <w:tab w:val="left" w:pos="709" w:leader="none"/>
          <w:tab w:val="left" w:pos="851" w:leader="none"/>
          <w:tab w:val="left" w:pos="1134" w:leader="none"/>
          <w:tab w:val="num" w:pos="4793" w:leader="none"/>
        </w:tabs>
        <w:rPr>
          <w:sz w:val="28"/>
          <w:szCs w:val="28"/>
        </w:rPr>
      </w:pPr>
      <w:r>
        <w:rPr>
          <w:sz w:val="28"/>
          <w:szCs w:val="28"/>
        </w:rPr>
        <w:t xml:space="preserve">Коммерческий учет электроэнергии в МКЖД должен быть организован в соответствии с</w:t>
      </w:r>
      <w:r>
        <w:rPr>
          <w:sz w:val="28"/>
          <w:szCs w:val="28"/>
        </w:rPr>
        <w:t xml:space="preserve"> </w:t>
      </w:r>
      <w:r>
        <w:rPr>
          <w:sz w:val="28"/>
          <w:szCs w:val="28"/>
        </w:rPr>
        <w:t xml:space="preserve">т</w:t>
      </w:r>
      <w:r>
        <w:rPr>
          <w:sz w:val="28"/>
          <w:szCs w:val="28"/>
        </w:rPr>
        <w:t xml:space="preserve">ребованиями</w:t>
      </w:r>
      <w:r>
        <w:rPr>
          <w:sz w:val="28"/>
          <w:szCs w:val="28"/>
        </w:rPr>
        <w:t xml:space="preserve">:</w:t>
      </w:r>
      <w:r>
        <w:rPr>
          <w:sz w:val="28"/>
          <w:szCs w:val="28"/>
        </w:rPr>
      </w:r>
      <w:r>
        <w:rPr>
          <w:sz w:val="28"/>
          <w:szCs w:val="28"/>
        </w:rPr>
      </w:r>
    </w:p>
    <w:p>
      <w:pPr>
        <w:pStyle w:val="914"/>
        <w:numPr>
          <w:ilvl w:val="1"/>
          <w:numId w:val="6"/>
        </w:numPr>
        <w:contextualSpacing/>
        <w:ind w:left="0" w:right="0" w:firstLine="720"/>
        <w:widowControl w:val="off"/>
        <w:tabs>
          <w:tab w:val="num" w:pos="993" w:leader="none"/>
          <w:tab w:val="clear" w:pos="1440" w:leader="none"/>
        </w:tabs>
        <w:rPr>
          <w:sz w:val="28"/>
          <w:szCs w:val="28"/>
        </w:rPr>
      </w:pPr>
      <w:r>
        <w:rPr>
          <w:sz w:val="28"/>
          <w:szCs w:val="28"/>
        </w:rPr>
        <w:t xml:space="preserve">П</w:t>
      </w:r>
      <w:r>
        <w:rPr>
          <w:sz w:val="28"/>
          <w:szCs w:val="28"/>
        </w:rPr>
        <w:t xml:space="preserve">остановления </w:t>
      </w:r>
      <w:r>
        <w:rPr>
          <w:sz w:val="28"/>
          <w:szCs w:val="28"/>
        </w:rPr>
        <w:t xml:space="preserve">П</w:t>
      </w:r>
      <w:r>
        <w:rPr>
          <w:sz w:val="28"/>
          <w:szCs w:val="28"/>
        </w:rPr>
        <w:t xml:space="preserve">равительства</w:t>
      </w:r>
      <w:r>
        <w:rPr>
          <w:sz w:val="28"/>
          <w:szCs w:val="28"/>
        </w:rPr>
        <w:t xml:space="preserve"> РФ от 18 апреля 2020 г. № 554 </w:t>
      </w:r>
      <w:r>
        <w:rPr>
          <w:spacing w:val="-4"/>
          <w:sz w:val="28"/>
          <w:szCs w:val="28"/>
        </w:rPr>
        <w:t xml:space="preserve">«О</w:t>
      </w:r>
      <w:r>
        <w:rPr>
          <w:spacing w:val="-4"/>
          <w:sz w:val="28"/>
          <w:szCs w:val="28"/>
        </w:rPr>
        <w:t xml:space="preserve"> </w:t>
      </w:r>
      <w:r>
        <w:rPr>
          <w:spacing w:val="-4"/>
          <w:sz w:val="28"/>
          <w:szCs w:val="28"/>
        </w:rPr>
        <w:t xml:space="preserve">внесении изменений в некоторые акты Правительства Российской Федерации</w:t>
      </w:r>
      <w:r>
        <w:rPr>
          <w:sz w:val="28"/>
          <w:szCs w:val="28"/>
        </w:rPr>
        <w:t xml:space="preserve"> по вопросам совершенствования организац</w:t>
      </w:r>
      <w:r>
        <w:rPr>
          <w:sz w:val="28"/>
          <w:szCs w:val="28"/>
        </w:rPr>
        <w:t xml:space="preserve">ии учета электрической энергии».</w:t>
      </w:r>
      <w:r>
        <w:rPr>
          <w:sz w:val="28"/>
          <w:szCs w:val="28"/>
        </w:rPr>
        <w:t xml:space="preserve"> </w:t>
      </w:r>
      <w:r>
        <w:rPr>
          <w:sz w:val="28"/>
          <w:szCs w:val="28"/>
        </w:rPr>
      </w:r>
      <w:r>
        <w:rPr>
          <w:sz w:val="28"/>
          <w:szCs w:val="28"/>
        </w:rPr>
      </w:r>
    </w:p>
    <w:p>
      <w:pPr>
        <w:pStyle w:val="914"/>
        <w:numPr>
          <w:ilvl w:val="1"/>
          <w:numId w:val="6"/>
        </w:numPr>
        <w:contextualSpacing/>
        <w:ind w:left="0" w:right="0" w:firstLine="709"/>
        <w:widowControl w:val="off"/>
        <w:tabs>
          <w:tab w:val="left" w:pos="993" w:leader="none"/>
        </w:tabs>
        <w:rPr>
          <w:sz w:val="28"/>
          <w:szCs w:val="28"/>
        </w:rPr>
      </w:pPr>
      <w:r>
        <w:rPr>
          <w:sz w:val="28"/>
          <w:szCs w:val="28"/>
        </w:rPr>
        <w:t xml:space="preserve">Федеральн</w:t>
      </w:r>
      <w:r>
        <w:rPr>
          <w:sz w:val="28"/>
          <w:szCs w:val="28"/>
        </w:rPr>
        <w:t xml:space="preserve">ого</w:t>
      </w:r>
      <w:r>
        <w:rPr>
          <w:sz w:val="28"/>
          <w:szCs w:val="28"/>
        </w:rPr>
        <w:t xml:space="preserve"> закон</w:t>
      </w:r>
      <w:r>
        <w:rPr>
          <w:sz w:val="28"/>
          <w:szCs w:val="28"/>
        </w:rPr>
        <w:t xml:space="preserve">а</w:t>
      </w:r>
      <w:r>
        <w:rPr>
          <w:sz w:val="28"/>
          <w:szCs w:val="28"/>
        </w:rPr>
        <w:t xml:space="preserve"> от 27.12.2018 № 522-ФЗ «О внесении изменений в отдельные законодательные акты Российской Федерации в связи с </w:t>
      </w:r>
      <w:r>
        <w:rPr>
          <w:sz w:val="28"/>
          <w:szCs w:val="28"/>
        </w:rPr>
        <w:t xml:space="preserve">развитием систем учета </w:t>
      </w:r>
      <w:r>
        <w:rPr>
          <w:sz w:val="28"/>
          <w:szCs w:val="28"/>
        </w:rPr>
        <w:t xml:space="preserve">электроэнергии в Российской Федерации».</w:t>
      </w:r>
      <w:r>
        <w:rPr>
          <w:sz w:val="28"/>
          <w:szCs w:val="28"/>
        </w:rPr>
      </w:r>
      <w:r>
        <w:rPr>
          <w:sz w:val="28"/>
          <w:szCs w:val="28"/>
        </w:rPr>
      </w:r>
    </w:p>
    <w:p>
      <w:pPr>
        <w:pStyle w:val="914"/>
        <w:numPr>
          <w:ilvl w:val="1"/>
          <w:numId w:val="6"/>
        </w:numPr>
        <w:contextualSpacing/>
        <w:ind w:left="0" w:right="0" w:firstLine="709"/>
        <w:widowControl w:val="off"/>
        <w:tabs>
          <w:tab w:val="left" w:pos="993" w:leader="none"/>
        </w:tabs>
        <w:rPr>
          <w:sz w:val="28"/>
          <w:szCs w:val="28"/>
        </w:rPr>
      </w:pPr>
      <w:r>
        <w:rPr>
          <w:sz w:val="28"/>
          <w:szCs w:val="28"/>
        </w:rPr>
        <w:t xml:space="preserve">Основных положений функционирования розничных рынков электрической энергии, утвержденных </w:t>
      </w:r>
      <w:r>
        <w:rPr>
          <w:sz w:val="28"/>
          <w:szCs w:val="28"/>
        </w:rPr>
        <w:t xml:space="preserve">П</w:t>
      </w:r>
      <w:r>
        <w:rPr>
          <w:sz w:val="28"/>
          <w:szCs w:val="28"/>
        </w:rPr>
        <w:t xml:space="preserve">остановлени</w:t>
      </w:r>
      <w:r>
        <w:rPr>
          <w:sz w:val="28"/>
          <w:szCs w:val="28"/>
        </w:rPr>
        <w:t xml:space="preserve">ем</w:t>
      </w:r>
      <w:r>
        <w:rPr>
          <w:sz w:val="28"/>
          <w:szCs w:val="28"/>
        </w:rPr>
        <w:t xml:space="preserve"> Правительства </w:t>
      </w:r>
      <w:r>
        <w:rPr>
          <w:sz w:val="28"/>
          <w:szCs w:val="28"/>
        </w:rPr>
        <w:t xml:space="preserve">РФ от 04.05.2012 № 442 (да</w:t>
      </w:r>
      <w:r>
        <w:rPr>
          <w:sz w:val="28"/>
          <w:szCs w:val="28"/>
        </w:rPr>
        <w:t xml:space="preserve">лее – Основные положения № 442).</w:t>
      </w:r>
      <w:r>
        <w:rPr>
          <w:sz w:val="28"/>
          <w:szCs w:val="28"/>
        </w:rPr>
      </w:r>
      <w:r>
        <w:rPr>
          <w:sz w:val="28"/>
          <w:szCs w:val="28"/>
        </w:rPr>
      </w:r>
    </w:p>
    <w:p>
      <w:pPr>
        <w:pStyle w:val="914"/>
        <w:numPr>
          <w:ilvl w:val="1"/>
          <w:numId w:val="6"/>
        </w:numPr>
        <w:contextualSpacing/>
        <w:ind w:left="0" w:right="0" w:firstLine="709"/>
        <w:widowControl w:val="off"/>
        <w:tabs>
          <w:tab w:val="left" w:pos="993" w:leader="none"/>
        </w:tabs>
        <w:rPr>
          <w:sz w:val="28"/>
          <w:szCs w:val="28"/>
        </w:rPr>
      </w:pPr>
      <w:r>
        <w:rPr>
          <w:sz w:val="28"/>
          <w:szCs w:val="28"/>
        </w:rPr>
        <w:t xml:space="preserve">Правил предоставления коммунальных услуг собственникам и пользователям помещений в многоквартирных домах и жилых домов, </w:t>
      </w:r>
      <w:r>
        <w:rPr>
          <w:spacing w:val="-4"/>
          <w:sz w:val="28"/>
          <w:szCs w:val="28"/>
        </w:rPr>
        <w:t xml:space="preserve">утвержденных </w:t>
      </w:r>
      <w:r>
        <w:rPr>
          <w:spacing w:val="-4"/>
          <w:sz w:val="28"/>
          <w:szCs w:val="28"/>
        </w:rPr>
        <w:t xml:space="preserve">П</w:t>
      </w:r>
      <w:r>
        <w:rPr>
          <w:spacing w:val="-4"/>
          <w:sz w:val="28"/>
          <w:szCs w:val="28"/>
        </w:rPr>
        <w:t xml:space="preserve">остановлением Правительства РФ от 06.05.2011 № 354 (далее –</w:t>
      </w:r>
      <w:r>
        <w:rPr>
          <w:sz w:val="28"/>
          <w:szCs w:val="28"/>
        </w:rPr>
        <w:t xml:space="preserve"> Правила</w:t>
      </w:r>
      <w:r>
        <w:rPr>
          <w:sz w:val="28"/>
          <w:szCs w:val="28"/>
        </w:rPr>
        <w:t xml:space="preserve"> № 354).</w:t>
      </w:r>
      <w:r>
        <w:rPr>
          <w:sz w:val="28"/>
          <w:szCs w:val="28"/>
        </w:rPr>
      </w:r>
      <w:r>
        <w:rPr>
          <w:sz w:val="28"/>
          <w:szCs w:val="28"/>
        </w:rPr>
      </w:r>
    </w:p>
    <w:p>
      <w:pPr>
        <w:pStyle w:val="914"/>
        <w:numPr>
          <w:ilvl w:val="1"/>
          <w:numId w:val="6"/>
        </w:numPr>
        <w:contextualSpacing/>
        <w:ind w:left="0" w:right="0" w:firstLine="709"/>
        <w:widowControl w:val="off"/>
        <w:tabs>
          <w:tab w:val="left" w:pos="993" w:leader="none"/>
        </w:tabs>
        <w:rPr>
          <w:sz w:val="28"/>
          <w:szCs w:val="28"/>
        </w:rPr>
      </w:pPr>
      <w:r>
        <w:rPr>
          <w:sz w:val="28"/>
          <w:szCs w:val="28"/>
        </w:rPr>
        <w:t xml:space="preserve">Правил предоставления доступа к минимальному набору функций интеллектуальных систем учета электрической энергии (мощности), </w:t>
      </w:r>
      <w:r>
        <w:rPr>
          <w:spacing w:val="-6"/>
          <w:sz w:val="28"/>
          <w:szCs w:val="28"/>
        </w:rPr>
        <w:t xml:space="preserve">утвержденных </w:t>
      </w:r>
      <w:r>
        <w:rPr>
          <w:spacing w:val="-6"/>
          <w:sz w:val="28"/>
          <w:szCs w:val="28"/>
        </w:rPr>
        <w:t xml:space="preserve">П</w:t>
      </w:r>
      <w:r>
        <w:rPr>
          <w:spacing w:val="-6"/>
          <w:sz w:val="28"/>
          <w:szCs w:val="28"/>
        </w:rPr>
        <w:t xml:space="preserve">остановлением Правительства РФ от 19.06.2020 № 890 (далее –</w:t>
      </w:r>
      <w:r>
        <w:rPr>
          <w:sz w:val="28"/>
          <w:szCs w:val="28"/>
        </w:rPr>
        <w:t xml:space="preserve"> </w:t>
      </w:r>
      <w:r>
        <w:rPr>
          <w:sz w:val="28"/>
          <w:szCs w:val="28"/>
        </w:rPr>
        <w:t xml:space="preserve">Правила</w:t>
      </w:r>
      <w:r>
        <w:rPr>
          <w:sz w:val="28"/>
          <w:szCs w:val="28"/>
        </w:rPr>
        <w:t xml:space="preserve"> </w:t>
      </w:r>
      <w:r>
        <w:rPr>
          <w:sz w:val="28"/>
          <w:szCs w:val="28"/>
        </w:rPr>
        <w:t xml:space="preserve">№ 890).</w:t>
      </w:r>
      <w:r>
        <w:rPr>
          <w:sz w:val="28"/>
          <w:szCs w:val="28"/>
        </w:rPr>
      </w:r>
      <w:r>
        <w:rPr>
          <w:sz w:val="28"/>
          <w:szCs w:val="28"/>
        </w:rPr>
      </w:r>
    </w:p>
    <w:p>
      <w:pPr>
        <w:pStyle w:val="914"/>
        <w:numPr>
          <w:ilvl w:val="1"/>
          <w:numId w:val="6"/>
        </w:numPr>
        <w:contextualSpacing/>
        <w:ind w:left="0" w:right="0" w:firstLine="709"/>
        <w:widowControl w:val="off"/>
        <w:tabs>
          <w:tab w:val="left" w:pos="993" w:leader="none"/>
        </w:tabs>
        <w:rPr>
          <w:sz w:val="28"/>
          <w:szCs w:val="28"/>
        </w:rPr>
      </w:pPr>
      <w:r>
        <w:rPr>
          <w:sz w:val="28"/>
          <w:szCs w:val="28"/>
        </w:rPr>
        <w:t xml:space="preserve">П</w:t>
      </w:r>
      <w:r>
        <w:rPr>
          <w:sz w:val="28"/>
          <w:szCs w:val="28"/>
        </w:rPr>
        <w:t xml:space="preserve">остановлением Правительства РФ от 21.12.2020 № 2184 «О</w:t>
      </w:r>
      <w:r>
        <w:rPr>
          <w:sz w:val="28"/>
          <w:szCs w:val="28"/>
        </w:rPr>
        <w:t xml:space="preserve"> </w:t>
      </w:r>
      <w:r>
        <w:rPr>
          <w:sz w:val="28"/>
          <w:szCs w:val="28"/>
        </w:rPr>
        <w:t xml:space="preserve">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w:t>
      </w:r>
      <w:r>
        <w:rPr>
          <w:sz w:val="28"/>
          <w:szCs w:val="28"/>
        </w:rPr>
      </w:r>
      <w:r>
        <w:rPr>
          <w:sz w:val="28"/>
          <w:szCs w:val="28"/>
        </w:rPr>
      </w:r>
    </w:p>
    <w:p>
      <w:pPr>
        <w:pStyle w:val="914"/>
        <w:numPr>
          <w:ilvl w:val="1"/>
          <w:numId w:val="6"/>
        </w:numPr>
        <w:contextualSpacing/>
        <w:ind w:left="0" w:right="0" w:firstLine="709"/>
        <w:widowControl w:val="off"/>
        <w:tabs>
          <w:tab w:val="left" w:pos="993" w:leader="none"/>
        </w:tabs>
        <w:rPr>
          <w:sz w:val="28"/>
          <w:szCs w:val="28"/>
        </w:rPr>
      </w:pPr>
      <w:r>
        <w:rPr>
          <w:sz w:val="28"/>
          <w:szCs w:val="28"/>
        </w:rPr>
        <w:t xml:space="preserve">ГОСТ Р 59966-2021</w:t>
      </w:r>
      <w:r>
        <w:rPr>
          <w:sz w:val="28"/>
          <w:szCs w:val="28"/>
        </w:rPr>
        <w:t xml:space="preserve">.</w:t>
      </w:r>
      <w:r>
        <w:rPr>
          <w:sz w:val="28"/>
          <w:szCs w:val="28"/>
        </w:rPr>
      </w:r>
      <w:r>
        <w:rPr>
          <w:sz w:val="28"/>
          <w:szCs w:val="28"/>
        </w:rPr>
      </w:r>
    </w:p>
    <w:p>
      <w:pPr>
        <w:pStyle w:val="914"/>
        <w:numPr>
          <w:ilvl w:val="0"/>
          <w:numId w:val="6"/>
        </w:numPr>
        <w:contextualSpacing/>
        <w:ind w:left="0" w:right="0" w:firstLine="709"/>
        <w:widowControl w:val="off"/>
        <w:tabs>
          <w:tab w:val="clear" w:pos="540" w:leader="none"/>
          <w:tab w:val="left" w:pos="709" w:leader="none"/>
          <w:tab w:val="left" w:pos="851" w:leader="none"/>
          <w:tab w:val="left" w:pos="1134" w:leader="none"/>
          <w:tab w:val="num" w:pos="4793" w:leader="none"/>
        </w:tabs>
        <w:rPr>
          <w:sz w:val="28"/>
          <w:szCs w:val="28"/>
        </w:rPr>
      </w:pPr>
      <w:r>
        <w:rPr>
          <w:sz w:val="28"/>
          <w:szCs w:val="28"/>
        </w:rPr>
        <w:t xml:space="preserve">Для учета электрической энергии в жилых домах необходимо предусмотреть установку интеллектуальных приборов учета электроэнергии</w:t>
      </w:r>
      <w:r>
        <w:rPr>
          <w:sz w:val="28"/>
          <w:szCs w:val="28"/>
        </w:rPr>
        <w:t xml:space="preserve">,</w:t>
      </w:r>
      <w:r>
        <w:rPr>
          <w:sz w:val="28"/>
          <w:szCs w:val="28"/>
        </w:rPr>
        <w:t xml:space="preserve"> удовлетворяющих требованиям</w:t>
      </w:r>
      <w:r>
        <w:rPr>
          <w:sz w:val="28"/>
          <w:szCs w:val="28"/>
        </w:rPr>
        <w:t xml:space="preserve">:  </w:t>
      </w:r>
      <w:r>
        <w:rPr>
          <w:sz w:val="28"/>
          <w:szCs w:val="28"/>
        </w:rPr>
      </w:r>
      <w:r>
        <w:rPr>
          <w:sz w:val="28"/>
          <w:szCs w:val="28"/>
        </w:rPr>
      </w:r>
    </w:p>
    <w:p>
      <w:pPr>
        <w:pStyle w:val="914"/>
        <w:numPr>
          <w:ilvl w:val="1"/>
          <w:numId w:val="6"/>
        </w:numPr>
        <w:contextualSpacing/>
        <w:ind w:left="0" w:right="0" w:firstLine="720"/>
        <w:widowControl w:val="off"/>
        <w:tabs>
          <w:tab w:val="num" w:pos="720" w:leader="none"/>
          <w:tab w:val="left" w:pos="851" w:leader="none"/>
          <w:tab w:val="left" w:pos="1134" w:leader="none"/>
          <w:tab w:val="clear" w:pos="1440" w:leader="none"/>
        </w:tabs>
        <w:rPr>
          <w:sz w:val="28"/>
          <w:szCs w:val="28"/>
        </w:rPr>
      </w:pPr>
      <w:r>
        <w:rPr>
          <w:sz w:val="28"/>
          <w:szCs w:val="28"/>
        </w:rPr>
        <w:t xml:space="preserve">Постановления Правительства РФ от 17 июля 2015 г. № 719 «О</w:t>
      </w:r>
      <w:r>
        <w:rPr>
          <w:sz w:val="28"/>
          <w:szCs w:val="28"/>
        </w:rPr>
        <w:t xml:space="preserve"> </w:t>
      </w:r>
      <w:r>
        <w:rPr>
          <w:sz w:val="28"/>
          <w:szCs w:val="28"/>
        </w:rPr>
        <w:t xml:space="preserve">подтверждении производства промышленной продукции на территории Российской Федерации».</w:t>
      </w:r>
      <w:r>
        <w:rPr>
          <w:sz w:val="28"/>
          <w:szCs w:val="28"/>
        </w:rPr>
      </w:r>
      <w:r>
        <w:rPr>
          <w:sz w:val="28"/>
          <w:szCs w:val="28"/>
        </w:rPr>
      </w:r>
    </w:p>
    <w:p>
      <w:pPr>
        <w:pStyle w:val="914"/>
        <w:numPr>
          <w:ilvl w:val="1"/>
          <w:numId w:val="6"/>
        </w:numPr>
        <w:contextualSpacing/>
        <w:ind w:left="0" w:right="0" w:firstLine="709"/>
        <w:widowControl w:val="off"/>
        <w:tabs>
          <w:tab w:val="clear" w:pos="1440" w:leader="none"/>
        </w:tabs>
        <w:rPr>
          <w:sz w:val="28"/>
          <w:szCs w:val="28"/>
        </w:rPr>
      </w:pPr>
      <w:r>
        <w:rPr>
          <w:sz w:val="28"/>
          <w:szCs w:val="28"/>
        </w:rPr>
        <w:t xml:space="preserve">Постановления Правительства РФ от 10 июля 2019 г. № 878 «О</w:t>
      </w:r>
      <w:r>
        <w:rPr>
          <w:sz w:val="28"/>
          <w:szCs w:val="28"/>
        </w:rPr>
        <w:t xml:space="preserve"> </w:t>
      </w:r>
      <w:r>
        <w:rPr>
          <w:sz w:val="28"/>
          <w:szCs w:val="28"/>
        </w:rPr>
        <w:t xml:space="preserve">мерах стимулирования производства радиоэлектронной продукции на территории Российской Федерации при осуществлении закупок то</w:t>
      </w:r>
      <w:r>
        <w:rPr>
          <w:sz w:val="28"/>
          <w:szCs w:val="28"/>
        </w:rPr>
        <w:t xml:space="preserve">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Pr>
          <w:sz w:val="28"/>
          <w:szCs w:val="28"/>
        </w:rPr>
      </w:r>
      <w:r>
        <w:rPr>
          <w:sz w:val="28"/>
          <w:szCs w:val="28"/>
        </w:rPr>
      </w:r>
    </w:p>
    <w:p>
      <w:pPr>
        <w:pStyle w:val="914"/>
        <w:numPr>
          <w:ilvl w:val="1"/>
          <w:numId w:val="6"/>
        </w:numPr>
        <w:contextualSpacing/>
        <w:ind w:left="0" w:right="0" w:firstLine="709"/>
        <w:widowControl w:val="off"/>
        <w:tabs>
          <w:tab w:val="clear" w:pos="1440" w:leader="none"/>
        </w:tabs>
        <w:rPr>
          <w:sz w:val="28"/>
          <w:szCs w:val="28"/>
        </w:rPr>
      </w:pPr>
      <w:r>
        <w:rPr>
          <w:sz w:val="28"/>
          <w:szCs w:val="28"/>
        </w:rPr>
        <w:t xml:space="preserve">Раздела III «Перечень функций приборов учета электрической энергии, которые могут быть присоединены к интеллектуальной системе учета, и</w:t>
      </w:r>
      <w:r>
        <w:rPr>
          <w:sz w:val="28"/>
          <w:szCs w:val="28"/>
        </w:rPr>
        <w:t xml:space="preserve"> требования к ним» Правил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РФ от 19 июня 2020 г. № 890 (в том числе пункта М) указанного раздела).</w:t>
      </w:r>
      <w:r>
        <w:rPr>
          <w:sz w:val="28"/>
          <w:szCs w:val="28"/>
        </w:rPr>
      </w:r>
      <w:r>
        <w:rPr>
          <w:sz w:val="28"/>
          <w:szCs w:val="28"/>
        </w:rPr>
      </w:r>
    </w:p>
    <w:p>
      <w:pPr>
        <w:pStyle w:val="914"/>
        <w:numPr>
          <w:ilvl w:val="1"/>
          <w:numId w:val="6"/>
        </w:numPr>
        <w:contextualSpacing/>
        <w:ind w:left="0" w:right="0" w:firstLine="709"/>
        <w:widowControl w:val="off"/>
        <w:tabs>
          <w:tab w:val="clear" w:pos="1440" w:leader="none"/>
        </w:tabs>
        <w:rPr>
          <w:sz w:val="28"/>
          <w:szCs w:val="28"/>
        </w:rPr>
      </w:pPr>
      <w:r>
        <w:rPr>
          <w:sz w:val="28"/>
          <w:szCs w:val="28"/>
        </w:rPr>
        <w:t xml:space="preserve">СП 256.13258800.2016, утвержденных приказом Министерства Строительства и ЖКХ РФ от 29 августа 2016 г. №</w:t>
      </w:r>
      <w:r>
        <w:rPr>
          <w:sz w:val="28"/>
          <w:szCs w:val="28"/>
        </w:rPr>
        <w:t xml:space="preserve"> </w:t>
      </w:r>
      <w:r>
        <w:rPr>
          <w:sz w:val="28"/>
          <w:szCs w:val="28"/>
        </w:rPr>
        <w:t xml:space="preserve">602/пр (в том числе третий дефис п.</w:t>
      </w:r>
      <w:r>
        <w:rPr>
          <w:sz w:val="28"/>
          <w:szCs w:val="28"/>
        </w:rPr>
        <w:t xml:space="preserve"> </w:t>
      </w:r>
      <w:r>
        <w:rPr>
          <w:sz w:val="28"/>
          <w:szCs w:val="28"/>
        </w:rPr>
        <w:t xml:space="preserve">18.2.12).</w:t>
      </w:r>
      <w:r>
        <w:rPr>
          <w:sz w:val="28"/>
          <w:szCs w:val="28"/>
        </w:rPr>
      </w:r>
      <w:r>
        <w:rPr>
          <w:sz w:val="28"/>
          <w:szCs w:val="28"/>
        </w:rPr>
      </w:r>
    </w:p>
    <w:p>
      <w:pPr>
        <w:pStyle w:val="914"/>
        <w:numPr>
          <w:ilvl w:val="0"/>
          <w:numId w:val="6"/>
        </w:numPr>
        <w:contextualSpacing/>
        <w:ind w:left="0" w:right="0" w:firstLine="709"/>
        <w:widowControl w:val="off"/>
        <w:tabs>
          <w:tab w:val="clear" w:pos="540" w:leader="none"/>
          <w:tab w:val="num" w:pos="1418" w:leader="none"/>
          <w:tab w:val="num" w:pos="4793" w:leader="none"/>
        </w:tabs>
        <w:rPr>
          <w:sz w:val="28"/>
          <w:szCs w:val="28"/>
        </w:rPr>
      </w:pPr>
      <w:r>
        <w:rPr>
          <w:bCs/>
          <w:sz w:val="28"/>
          <w:szCs w:val="28"/>
        </w:rPr>
        <w:t xml:space="preserve">Требуется о</w:t>
      </w:r>
      <w:r>
        <w:rPr>
          <w:bCs/>
          <w:sz w:val="28"/>
          <w:szCs w:val="28"/>
        </w:rPr>
        <w:t xml:space="preserve">беспечить установку приборов учета следующих классов точности:</w:t>
      </w:r>
      <w:r>
        <w:rPr>
          <w:sz w:val="28"/>
          <w:szCs w:val="28"/>
        </w:rPr>
      </w:r>
      <w:r>
        <w:rPr>
          <w:sz w:val="28"/>
          <w:szCs w:val="28"/>
        </w:rPr>
      </w:r>
    </w:p>
    <w:p>
      <w:pPr>
        <w:pStyle w:val="914"/>
        <w:numPr>
          <w:ilvl w:val="1"/>
          <w:numId w:val="6"/>
        </w:numPr>
        <w:contextualSpacing/>
        <w:ind w:left="0" w:right="0" w:firstLine="698"/>
        <w:widowControl w:val="off"/>
        <w:tabs>
          <w:tab w:val="num" w:pos="720" w:leader="none"/>
          <w:tab w:val="clear" w:pos="1440" w:leader="none"/>
        </w:tabs>
        <w:rPr>
          <w:sz w:val="28"/>
          <w:szCs w:val="28"/>
        </w:rPr>
      </w:pPr>
      <w:r>
        <w:rPr>
          <w:bCs/>
          <w:sz w:val="28"/>
          <w:szCs w:val="28"/>
        </w:rPr>
        <w:t xml:space="preserve">В вводных панелях после аппаратов управления до деления нагрузок – трехфазного многотарифного прибора учета электроэнергии класса точности </w:t>
      </w:r>
      <w:r>
        <w:rPr>
          <w:sz w:val="28"/>
          <w:szCs w:val="28"/>
        </w:rPr>
        <w:t xml:space="preserve">не ниже 0,5</w:t>
      </w:r>
      <w:r>
        <w:rPr>
          <w:sz w:val="28"/>
          <w:szCs w:val="28"/>
          <w:lang w:val="en-US"/>
        </w:rPr>
        <w:t xml:space="preserve">S</w:t>
      </w:r>
      <w:r>
        <w:rPr>
          <w:sz w:val="28"/>
          <w:szCs w:val="28"/>
        </w:rPr>
        <w:t xml:space="preserve"> по активной энергии и 1,0 по реактивной энергии для приборов учета электрической энергии трансформаторного включения.</w:t>
      </w:r>
      <w:r>
        <w:rPr>
          <w:sz w:val="28"/>
          <w:szCs w:val="28"/>
        </w:rPr>
      </w:r>
      <w:r>
        <w:rPr>
          <w:sz w:val="28"/>
          <w:szCs w:val="28"/>
        </w:rPr>
      </w:r>
    </w:p>
    <w:p>
      <w:pPr>
        <w:pStyle w:val="914"/>
        <w:numPr>
          <w:ilvl w:val="1"/>
          <w:numId w:val="6"/>
        </w:numPr>
        <w:contextualSpacing/>
        <w:ind w:left="0" w:right="0" w:firstLine="709"/>
        <w:widowControl w:val="off"/>
        <w:tabs>
          <w:tab w:val="clear" w:pos="1440" w:leader="none"/>
        </w:tabs>
        <w:rPr>
          <w:sz w:val="28"/>
          <w:szCs w:val="28"/>
        </w:rPr>
      </w:pPr>
      <w:r>
        <w:rPr>
          <w:sz w:val="28"/>
          <w:szCs w:val="28"/>
        </w:rPr>
        <w:t xml:space="preserve">На вводе в каждую кв</w:t>
      </w:r>
      <w:r>
        <w:rPr>
          <w:sz w:val="28"/>
          <w:szCs w:val="28"/>
        </w:rPr>
        <w:t xml:space="preserve">артиру с однофазным вводом – однофазного многотарифного прибора учета электроэнергии класса точности не ниже 1,0 по активной энергии и 2,0 по реактивной энергии при условии наличия таких приборов учета в свободном доступе на соответствующем товарном рынке.</w:t>
      </w:r>
      <w:r>
        <w:rPr>
          <w:sz w:val="28"/>
          <w:szCs w:val="28"/>
        </w:rPr>
      </w:r>
      <w:r>
        <w:rPr>
          <w:sz w:val="28"/>
          <w:szCs w:val="28"/>
        </w:rPr>
      </w:r>
    </w:p>
    <w:p>
      <w:pPr>
        <w:pStyle w:val="914"/>
        <w:numPr>
          <w:ilvl w:val="1"/>
          <w:numId w:val="6"/>
        </w:numPr>
        <w:contextualSpacing/>
        <w:ind w:left="0" w:right="0" w:firstLine="709"/>
        <w:widowControl w:val="off"/>
        <w:tabs>
          <w:tab w:val="clear" w:pos="1440" w:leader="none"/>
        </w:tabs>
        <w:rPr>
          <w:sz w:val="28"/>
          <w:szCs w:val="28"/>
        </w:rPr>
      </w:pPr>
      <w:r>
        <w:rPr>
          <w:sz w:val="28"/>
          <w:szCs w:val="28"/>
        </w:rPr>
        <w:t xml:space="preserve">На вводе в каждую квартиру с трехфазным вводом – трехфазного многотарифного прибора учета электроэнергии класса точности не ниже 1,0 по активной энергии и 2,0 по реактивной энергии.</w:t>
      </w:r>
      <w:r>
        <w:rPr>
          <w:sz w:val="28"/>
          <w:szCs w:val="28"/>
        </w:rPr>
      </w:r>
      <w:r>
        <w:rPr>
          <w:sz w:val="28"/>
          <w:szCs w:val="28"/>
        </w:rPr>
      </w:r>
    </w:p>
    <w:p>
      <w:pPr>
        <w:pStyle w:val="914"/>
        <w:numPr>
          <w:ilvl w:val="1"/>
          <w:numId w:val="6"/>
        </w:numPr>
        <w:contextualSpacing/>
        <w:ind w:left="0" w:right="0" w:firstLine="709"/>
        <w:widowControl w:val="off"/>
        <w:tabs>
          <w:tab w:val="clear" w:pos="1440" w:leader="none"/>
        </w:tabs>
        <w:rPr>
          <w:sz w:val="28"/>
          <w:szCs w:val="28"/>
        </w:rPr>
      </w:pPr>
      <w:r>
        <w:rPr>
          <w:sz w:val="28"/>
          <w:szCs w:val="28"/>
        </w:rPr>
        <w:t xml:space="preserve">На линиях, питающих электроприемники 1-й категории надежности электроснабжения (АВР, станции пожаротушения, аварийное освещение и т.п.), – трехфазный многотарифный прибор учета электроэнергии класса точности не ниже 0,5</w:t>
      </w:r>
      <w:r>
        <w:rPr>
          <w:sz w:val="28"/>
          <w:szCs w:val="28"/>
          <w:lang w:val="en-US"/>
        </w:rPr>
        <w:t xml:space="preserve">S</w:t>
      </w:r>
      <w:r>
        <w:rPr>
          <w:sz w:val="28"/>
          <w:szCs w:val="28"/>
        </w:rPr>
        <w:t xml:space="preserve"> по активной энергии и 1,0 по реактивной </w:t>
      </w:r>
      <w:r>
        <w:rPr>
          <w:spacing w:val="-8"/>
          <w:sz w:val="28"/>
          <w:szCs w:val="28"/>
        </w:rPr>
        <w:t xml:space="preserve">энергии для приборов учета электрической энергии трансформаторного включения.</w:t>
      </w:r>
      <w:r>
        <w:rPr>
          <w:sz w:val="28"/>
          <w:szCs w:val="28"/>
        </w:rPr>
        <w:t xml:space="preserve"> </w:t>
      </w:r>
      <w:r>
        <w:rPr>
          <w:sz w:val="28"/>
          <w:szCs w:val="28"/>
        </w:rPr>
      </w:r>
      <w:r>
        <w:rPr>
          <w:sz w:val="28"/>
          <w:szCs w:val="28"/>
        </w:rPr>
      </w:r>
    </w:p>
    <w:p>
      <w:pPr>
        <w:pStyle w:val="914"/>
        <w:numPr>
          <w:ilvl w:val="1"/>
          <w:numId w:val="6"/>
        </w:numPr>
        <w:contextualSpacing/>
        <w:ind w:left="0" w:right="0" w:firstLine="709"/>
        <w:widowControl w:val="off"/>
        <w:tabs>
          <w:tab w:val="clear" w:pos="1440" w:leader="none"/>
        </w:tabs>
        <w:rPr>
          <w:sz w:val="28"/>
          <w:szCs w:val="28"/>
        </w:rPr>
      </w:pPr>
      <w:r>
        <w:rPr>
          <w:spacing w:val="-2"/>
          <w:sz w:val="28"/>
          <w:szCs w:val="28"/>
        </w:rPr>
        <w:t xml:space="preserve">На линиях, питающих электроприемники общедомовых нагрузок, –</w:t>
      </w:r>
      <w:r>
        <w:rPr>
          <w:sz w:val="28"/>
          <w:szCs w:val="28"/>
        </w:rPr>
        <w:t xml:space="preserve"> трехфазный многотарифный прибор учета электроэнергии класса точности не ниже 1,0 по активной энергии и 2,0 по реактивной энергии для приборов учета электрической энергии непосредственного включения (не ниже 0,5</w:t>
      </w:r>
      <w:r>
        <w:rPr>
          <w:sz w:val="28"/>
          <w:szCs w:val="28"/>
          <w:lang w:val="en-US"/>
        </w:rPr>
        <w:t xml:space="preserve">S</w:t>
      </w:r>
      <w:r>
        <w:rPr>
          <w:sz w:val="28"/>
          <w:szCs w:val="28"/>
        </w:rPr>
        <w:t xml:space="preserve"> по активной энергии и 1,0 по реактивной энергии для приборов учета электрической энергии трансформаторного включения).  </w:t>
      </w:r>
      <w:r>
        <w:rPr>
          <w:sz w:val="28"/>
          <w:szCs w:val="28"/>
        </w:rPr>
      </w:r>
      <w:r>
        <w:rPr>
          <w:sz w:val="28"/>
          <w:szCs w:val="28"/>
        </w:rPr>
      </w:r>
    </w:p>
    <w:p>
      <w:pPr>
        <w:pStyle w:val="914"/>
        <w:numPr>
          <w:ilvl w:val="1"/>
          <w:numId w:val="6"/>
        </w:numPr>
        <w:contextualSpacing/>
        <w:ind w:left="0" w:right="0" w:firstLine="709"/>
        <w:widowControl w:val="off"/>
        <w:tabs>
          <w:tab w:val="clear" w:pos="1440" w:leader="none"/>
        </w:tabs>
        <w:rPr>
          <w:sz w:val="28"/>
          <w:szCs w:val="28"/>
        </w:rPr>
      </w:pPr>
      <w:r>
        <w:rPr>
          <w:spacing w:val="-6"/>
          <w:sz w:val="28"/>
          <w:szCs w:val="28"/>
        </w:rPr>
        <w:t xml:space="preserve">На линиях, питающих электроприемники встроенных помещений, –</w:t>
      </w:r>
      <w:r>
        <w:rPr>
          <w:sz w:val="28"/>
          <w:szCs w:val="28"/>
        </w:rPr>
        <w:t xml:space="preserve"> трехфазный многотарифный прибор учета электроэнергии класса точности не ниже 1,0 по активной энергии и 2,0 по реактивной энергии для приборов учета электрической энергии непосредственного включения (не ниже 0,5</w:t>
      </w:r>
      <w:r>
        <w:rPr>
          <w:sz w:val="28"/>
          <w:szCs w:val="28"/>
          <w:lang w:val="en-US"/>
        </w:rPr>
        <w:t xml:space="preserve">S</w:t>
      </w:r>
      <w:r>
        <w:rPr>
          <w:sz w:val="28"/>
          <w:szCs w:val="28"/>
        </w:rPr>
        <w:t xml:space="preserve"> по активной энергии и 1,0 по реактивной энергии для приборов учета электрической энергии трансформаторного включения). </w:t>
      </w:r>
      <w:r>
        <w:rPr>
          <w:sz w:val="28"/>
          <w:szCs w:val="28"/>
        </w:rPr>
      </w:r>
      <w:r>
        <w:rPr>
          <w:sz w:val="28"/>
          <w:szCs w:val="28"/>
        </w:rPr>
      </w:r>
    </w:p>
    <w:p>
      <w:pPr>
        <w:pStyle w:val="914"/>
        <w:numPr>
          <w:ilvl w:val="0"/>
          <w:numId w:val="6"/>
        </w:numPr>
        <w:contextualSpacing/>
        <w:ind w:left="0" w:right="0" w:firstLine="709"/>
        <w:widowControl w:val="off"/>
        <w:tabs>
          <w:tab w:val="clear" w:pos="540" w:leader="none"/>
          <w:tab w:val="left" w:pos="709" w:leader="none"/>
          <w:tab w:val="left" w:pos="851" w:leader="none"/>
          <w:tab w:val="num" w:pos="993" w:leader="none"/>
          <w:tab w:val="left" w:pos="1134" w:leader="none"/>
          <w:tab w:val="num" w:pos="4793" w:leader="none"/>
        </w:tabs>
        <w:rPr>
          <w:sz w:val="28"/>
          <w:szCs w:val="28"/>
        </w:rPr>
      </w:pPr>
      <w:r>
        <w:rPr>
          <w:sz w:val="28"/>
          <w:szCs w:val="28"/>
        </w:rPr>
        <w:t xml:space="preserve">Каждому абоненту необходимо обеспечить возможность беспрепятственного считывания показаний прибора учета. Конструкцией этажного электрощита об</w:t>
      </w:r>
      <w:r>
        <w:rPr>
          <w:sz w:val="28"/>
          <w:szCs w:val="28"/>
        </w:rPr>
        <w:t xml:space="preserve">еспечить регулировку посадочного места прибора учета для совмещения центра индикатора прибора учета с центром смотрового окна дверки электрощита. Расстояние от защитного стекла дверки электрощита до плоскости индикатора прибора учета не должно превышать 20</w:t>
      </w:r>
      <w:r>
        <w:rPr>
          <w:sz w:val="28"/>
          <w:szCs w:val="28"/>
        </w:rPr>
        <w:t xml:space="preserve"> </w:t>
      </w:r>
      <w:r>
        <w:rPr>
          <w:sz w:val="28"/>
          <w:szCs w:val="28"/>
        </w:rPr>
        <w:t xml:space="preserve">мм. Регулировка посадочного места должна обеспечивать возможность установки как однофазного, так и трехфазного прибора уче</w:t>
      </w:r>
      <w:r>
        <w:rPr>
          <w:sz w:val="28"/>
          <w:szCs w:val="28"/>
        </w:rPr>
        <w:t xml:space="preserve">та</w:t>
      </w:r>
      <w:r>
        <w:rPr>
          <w:sz w:val="28"/>
          <w:szCs w:val="28"/>
        </w:rPr>
        <w:t xml:space="preserve">. </w:t>
      </w:r>
      <w:r>
        <w:rPr>
          <w:sz w:val="28"/>
          <w:szCs w:val="28"/>
        </w:rPr>
      </w:r>
      <w:r>
        <w:rPr>
          <w:sz w:val="28"/>
          <w:szCs w:val="28"/>
        </w:rPr>
      </w:r>
    </w:p>
    <w:p>
      <w:pPr>
        <w:pStyle w:val="914"/>
        <w:numPr>
          <w:ilvl w:val="0"/>
          <w:numId w:val="6"/>
        </w:numPr>
        <w:contextualSpacing/>
        <w:ind w:left="0" w:right="0" w:firstLine="709"/>
        <w:widowControl w:val="off"/>
        <w:tabs>
          <w:tab w:val="clear" w:pos="540" w:leader="none"/>
          <w:tab w:val="num" w:pos="993" w:leader="none"/>
          <w:tab w:val="num" w:pos="4793" w:leader="none"/>
        </w:tabs>
        <w:rPr>
          <w:sz w:val="28"/>
          <w:szCs w:val="28"/>
        </w:rPr>
      </w:pPr>
      <w:r>
        <w:rPr>
          <w:sz w:val="28"/>
          <w:szCs w:val="28"/>
        </w:rPr>
        <w:t xml:space="preserve">Квартирные приборы учета должны быть оснащены встроенным реле управления</w:t>
      </w:r>
      <w:r>
        <w:rPr>
          <w:sz w:val="28"/>
          <w:szCs w:val="28"/>
        </w:rPr>
        <w:t xml:space="preserve"> нагрузкой, обеспечивающим возможность автоматического (и/или по команде с верхнего уровня) ограничения/отключения нагрузки.</w:t>
      </w:r>
      <w:r>
        <w:rPr>
          <w:sz w:val="28"/>
          <w:szCs w:val="28"/>
        </w:rPr>
      </w:r>
      <w:r>
        <w:rPr>
          <w:sz w:val="28"/>
          <w:szCs w:val="28"/>
        </w:rPr>
      </w:r>
    </w:p>
    <w:p>
      <w:pPr>
        <w:pStyle w:val="914"/>
        <w:numPr>
          <w:ilvl w:val="0"/>
          <w:numId w:val="6"/>
        </w:numPr>
        <w:contextualSpacing/>
        <w:ind w:left="0" w:right="0" w:firstLine="709"/>
        <w:widowControl w:val="off"/>
        <w:tabs>
          <w:tab w:val="clear" w:pos="540" w:leader="none"/>
          <w:tab w:val="num" w:pos="993" w:leader="none"/>
          <w:tab w:val="num" w:pos="4793" w:leader="none"/>
        </w:tabs>
        <w:rPr>
          <w:sz w:val="28"/>
          <w:szCs w:val="28"/>
        </w:rPr>
      </w:pPr>
      <w:r>
        <w:rPr>
          <w:sz w:val="28"/>
          <w:szCs w:val="28"/>
          <w:shd w:val="clear" w:color="auto" w:fill="ffffff"/>
        </w:rPr>
        <w:t xml:space="preserve">Расчетные индивидуальные (квартирные) приборы учета должны, как правило, устанавливаться в запираемых шкафах, в местах, доступных для технического обслуживания (вне квартир, на лестничных клетках или поэтажных коридорах, лестнично-лифтовых холлах и т.п.).</w:t>
      </w:r>
      <w:r>
        <w:rPr>
          <w:sz w:val="28"/>
          <w:szCs w:val="28"/>
        </w:rPr>
        <w:t xml:space="preserve"> </w:t>
      </w:r>
      <w:r>
        <w:rPr>
          <w:sz w:val="28"/>
          <w:szCs w:val="28"/>
        </w:rPr>
      </w:r>
      <w:r>
        <w:rPr>
          <w:sz w:val="28"/>
          <w:szCs w:val="28"/>
        </w:rPr>
      </w:r>
    </w:p>
    <w:p>
      <w:pPr>
        <w:pStyle w:val="914"/>
        <w:numPr>
          <w:ilvl w:val="0"/>
          <w:numId w:val="6"/>
        </w:numPr>
        <w:contextualSpacing/>
        <w:ind w:left="0" w:right="0" w:firstLine="709"/>
        <w:widowControl w:val="off"/>
        <w:tabs>
          <w:tab w:val="clear" w:pos="540" w:leader="none"/>
          <w:tab w:val="num" w:pos="993" w:leader="none"/>
          <w:tab w:val="num" w:pos="4793" w:leader="none"/>
        </w:tabs>
        <w:rPr>
          <w:sz w:val="28"/>
          <w:szCs w:val="28"/>
          <w:highlight w:val="white"/>
        </w:rPr>
      </w:pPr>
      <w:r>
        <w:rPr>
          <w:sz w:val="28"/>
          <w:szCs w:val="28"/>
        </w:rPr>
        <w:t xml:space="preserve">Приборы учета электроэнергии должны устанавливаться в шкафах, камерах, на панелях, щитах, в нишах, на стенах, имеющих жесткую конструкцию. В помещениях РУ, ВРУ (ГРЩ), где имеется опасность </w:t>
      </w:r>
      <w:r>
        <w:rPr>
          <w:sz w:val="28"/>
          <w:szCs w:val="28"/>
          <w:highlight w:val="white"/>
        </w:rPr>
        <w:t xml:space="preserve">механических повреждений приборов уче</w:t>
      </w:r>
      <w:r>
        <w:rPr>
          <w:sz w:val="28"/>
          <w:szCs w:val="28"/>
          <w:highlight w:val="white"/>
        </w:rPr>
        <w:t xml:space="preserve">та электроэнергии или их загрязнения, или в местах, доступных для посторонних лиц, приборы учета электроэнергии должны размещаться в запирающихся шкафах, расположенных на стене помещения. Высота установки ПУ – 0,8 – 1,7 метра от пола до коробки зажимов ПУ.</w:t>
      </w:r>
      <w:r>
        <w:rPr>
          <w:sz w:val="28"/>
          <w:szCs w:val="28"/>
          <w:highlight w:val="white"/>
        </w:rPr>
      </w:r>
      <w:r>
        <w:rPr>
          <w:sz w:val="28"/>
          <w:szCs w:val="28"/>
          <w:highlight w:val="white"/>
        </w:rPr>
      </w:r>
    </w:p>
    <w:p>
      <w:pPr>
        <w:pStyle w:val="914"/>
        <w:numPr>
          <w:ilvl w:val="0"/>
          <w:numId w:val="6"/>
        </w:numPr>
        <w:contextualSpacing/>
        <w:ind w:left="0" w:right="0" w:firstLine="709"/>
        <w:widowControl w:val="off"/>
        <w:tabs>
          <w:tab w:val="clear" w:pos="540" w:leader="none"/>
          <w:tab w:val="left" w:pos="709" w:leader="none"/>
          <w:tab w:val="left" w:pos="851" w:leader="none"/>
          <w:tab w:val="left" w:pos="1134" w:leader="none"/>
          <w:tab w:val="num" w:pos="4793" w:leader="none"/>
        </w:tabs>
        <w:rPr>
          <w:sz w:val="28"/>
          <w:szCs w:val="28"/>
          <w:highlight w:val="white"/>
        </w:rPr>
      </w:pPr>
      <w:r>
        <w:rPr>
          <w:sz w:val="28"/>
          <w:szCs w:val="28"/>
          <w:highlight w:val="white"/>
        </w:rPr>
        <w:t xml:space="preserve">С </w:t>
      </w:r>
      <w:r>
        <w:rPr>
          <w:sz w:val="28"/>
          <w:szCs w:val="28"/>
          <w:highlight w:val="white"/>
        </w:rPr>
        <w:t xml:space="preserve">учетом требований пункта 32 Правил № 890 установленные застройщиком многоквартирного дома приборы учета электроэнергии должны быть присоединены </w:t>
      </w:r>
      <w:r>
        <w:rPr>
          <w:sz w:val="28"/>
          <w:szCs w:val="28"/>
          <w:highlight w:val="white"/>
        </w:rPr>
        <w:t xml:space="preserve">к системе управления потоками сбора и передачи данных с интеллектуальных приборов учета «Пионер» (СУП СПД «Пионер») </w:t>
      </w:r>
      <w:r>
        <w:rPr>
          <w:sz w:val="28"/>
          <w:szCs w:val="28"/>
          <w:highlight w:val="white"/>
        </w:rPr>
        <w:t xml:space="preserve">гарантирующего поставщика ПАО «Саратовэнерго», варианты технических решений для обеспечения данной возможности размещены (в соответствии со ст</w:t>
      </w:r>
      <w:r>
        <w:rPr>
          <w:sz w:val="28"/>
          <w:szCs w:val="28"/>
          <w:highlight w:val="white"/>
        </w:rPr>
        <w:t xml:space="preserve">.</w:t>
      </w:r>
      <w:r>
        <w:rPr>
          <w:sz w:val="28"/>
          <w:szCs w:val="28"/>
          <w:highlight w:val="white"/>
        </w:rPr>
        <w:t xml:space="preserve"> 197_1 Основных положений № 442) на официальном сайте по адресу: </w:t>
      </w:r>
      <w:r>
        <w:rPr>
          <w:sz w:val="28"/>
          <w:szCs w:val="28"/>
          <w:highlight w:val="white"/>
        </w:rPr>
        <w:t xml:space="preserve">www.saratovenergo.ru</w:t>
      </w:r>
      <w:r>
        <w:rPr>
          <w:sz w:val="28"/>
          <w:szCs w:val="28"/>
          <w:highlight w:val="white"/>
        </w:rPr>
      </w:r>
      <w:r>
        <w:rPr>
          <w:sz w:val="28"/>
          <w:szCs w:val="28"/>
          <w:highlight w:val="white"/>
        </w:rPr>
      </w:r>
    </w:p>
    <w:p>
      <w:pPr>
        <w:pStyle w:val="914"/>
        <w:numPr>
          <w:ilvl w:val="0"/>
          <w:numId w:val="6"/>
        </w:numPr>
        <w:contextualSpacing/>
        <w:ind w:left="0" w:right="0" w:firstLine="709"/>
        <w:widowControl w:val="off"/>
        <w:tabs>
          <w:tab w:val="clear" w:pos="540" w:leader="none"/>
          <w:tab w:val="left" w:pos="709" w:leader="none"/>
          <w:tab w:val="left" w:pos="851" w:leader="none"/>
          <w:tab w:val="left" w:pos="1134" w:leader="none"/>
          <w:tab w:val="num" w:pos="4793" w:leader="none"/>
        </w:tabs>
        <w:rPr>
          <w:sz w:val="28"/>
          <w:szCs w:val="28"/>
        </w:rPr>
      </w:pPr>
      <w:r>
        <w:rPr>
          <w:sz w:val="28"/>
          <w:szCs w:val="28"/>
        </w:rPr>
        <w:t xml:space="preserve">При и</w:t>
      </w:r>
      <w:r>
        <w:rPr>
          <w:sz w:val="28"/>
          <w:szCs w:val="28"/>
        </w:rPr>
        <w:t xml:space="preserve">спольз</w:t>
      </w:r>
      <w:r>
        <w:rPr>
          <w:sz w:val="28"/>
          <w:szCs w:val="28"/>
        </w:rPr>
        <w:t xml:space="preserve">овании</w:t>
      </w:r>
      <w:r>
        <w:rPr>
          <w:sz w:val="28"/>
          <w:szCs w:val="28"/>
        </w:rPr>
        <w:t xml:space="preserve"> для обеспечения возможности присоединения расчетных приборов учета электроэнергии к </w:t>
      </w:r>
      <w:r>
        <w:rPr>
          <w:sz w:val="28"/>
          <w:szCs w:val="28"/>
        </w:rPr>
        <w:t xml:space="preserve">системе управления потоками сбора и передачи данных с интеллектуальных приборов учета «Пионер» (СУП СПД «Пионер»)</w:t>
      </w:r>
      <w:r>
        <w:rPr>
          <w:sz w:val="28"/>
          <w:szCs w:val="28"/>
        </w:rPr>
        <w:t xml:space="preserve"> гарантирующего поставщика ПАО «Саратовэнерго» оборудовани</w:t>
      </w:r>
      <w:r>
        <w:rPr>
          <w:sz w:val="28"/>
          <w:szCs w:val="28"/>
        </w:rPr>
        <w:t xml:space="preserve">я</w:t>
      </w:r>
      <w:r>
        <w:rPr>
          <w:sz w:val="28"/>
          <w:szCs w:val="28"/>
        </w:rPr>
        <w:t xml:space="preserve"> со встроенными средствами криптографической защиты информации (СКЗИ)</w:t>
      </w:r>
      <w:r>
        <w:rPr>
          <w:sz w:val="28"/>
          <w:szCs w:val="28"/>
        </w:rPr>
        <w:t xml:space="preserve"> (в соответствии со </w:t>
      </w:r>
      <w:r>
        <w:rPr>
          <w:sz w:val="28"/>
          <w:szCs w:val="28"/>
        </w:rPr>
        <w:t xml:space="preserve">ст</w:t>
      </w:r>
      <w:r>
        <w:rPr>
          <w:sz w:val="28"/>
          <w:szCs w:val="28"/>
        </w:rPr>
        <w:t xml:space="preserve">.</w:t>
      </w:r>
      <w:r>
        <w:rPr>
          <w:sz w:val="28"/>
          <w:szCs w:val="28"/>
        </w:rPr>
        <w:t xml:space="preserve">137 и 150 Основных положений № 442)</w:t>
      </w:r>
      <w:r>
        <w:rPr>
          <w:sz w:val="28"/>
          <w:szCs w:val="28"/>
        </w:rPr>
        <w:t xml:space="preserve"> необходимо</w:t>
      </w:r>
      <w:r>
        <w:rPr>
          <w:sz w:val="28"/>
          <w:szCs w:val="28"/>
        </w:rPr>
        <w:t xml:space="preserve">: </w:t>
      </w:r>
      <w:r>
        <w:rPr>
          <w:sz w:val="28"/>
          <w:szCs w:val="28"/>
        </w:rPr>
      </w:r>
      <w:r>
        <w:rPr>
          <w:sz w:val="28"/>
          <w:szCs w:val="28"/>
        </w:rPr>
      </w:r>
    </w:p>
    <w:p>
      <w:pPr>
        <w:pStyle w:val="914"/>
        <w:numPr>
          <w:ilvl w:val="1"/>
          <w:numId w:val="6"/>
        </w:numPr>
        <w:contextualSpacing/>
        <w:ind w:left="0" w:right="0" w:firstLine="709"/>
        <w:widowControl w:val="off"/>
        <w:tabs>
          <w:tab w:val="left" w:pos="993" w:leader="none"/>
        </w:tabs>
        <w:rPr>
          <w:sz w:val="28"/>
          <w:szCs w:val="28"/>
        </w:rPr>
      </w:pPr>
      <w:r>
        <w:rPr>
          <w:sz w:val="28"/>
          <w:szCs w:val="28"/>
        </w:rPr>
        <w:t xml:space="preserve">Р</w:t>
      </w:r>
      <w:r>
        <w:rPr>
          <w:sz w:val="28"/>
          <w:szCs w:val="28"/>
        </w:rPr>
        <w:t xml:space="preserve">азмещать </w:t>
      </w:r>
      <w:r>
        <w:rPr>
          <w:sz w:val="28"/>
          <w:szCs w:val="28"/>
        </w:rPr>
        <w:t xml:space="preserve">его </w:t>
      </w:r>
      <w:r>
        <w:rPr>
          <w:sz w:val="28"/>
          <w:szCs w:val="28"/>
        </w:rPr>
        <w:t xml:space="preserve">в закрытых отапливаемых помещениях</w:t>
      </w:r>
      <w:r>
        <w:rPr>
          <w:sz w:val="28"/>
          <w:szCs w:val="28"/>
        </w:rPr>
        <w:t xml:space="preserve">.</w:t>
      </w:r>
      <w:r>
        <w:rPr>
          <w:sz w:val="28"/>
          <w:szCs w:val="28"/>
        </w:rPr>
      </w:r>
      <w:r>
        <w:rPr>
          <w:sz w:val="28"/>
          <w:szCs w:val="28"/>
        </w:rPr>
      </w:r>
    </w:p>
    <w:p>
      <w:pPr>
        <w:pStyle w:val="914"/>
        <w:numPr>
          <w:ilvl w:val="1"/>
          <w:numId w:val="6"/>
        </w:numPr>
        <w:contextualSpacing/>
        <w:ind w:left="0" w:right="0" w:firstLine="709"/>
        <w:widowControl w:val="off"/>
        <w:tabs>
          <w:tab w:val="left" w:pos="993" w:leader="none"/>
        </w:tabs>
        <w:rPr>
          <w:color w:val="000000"/>
          <w:sz w:val="28"/>
          <w:szCs w:val="28"/>
        </w:rPr>
      </w:pPr>
      <w:r>
        <w:rPr>
          <w:color w:val="000000"/>
          <w:sz w:val="28"/>
          <w:szCs w:val="28"/>
        </w:rPr>
        <w:t xml:space="preserve">О</w:t>
      </w:r>
      <w:r>
        <w:rPr>
          <w:color w:val="000000"/>
          <w:sz w:val="28"/>
          <w:szCs w:val="28"/>
        </w:rPr>
        <w:t xml:space="preserve">существлять </w:t>
      </w:r>
      <w:r>
        <w:rPr>
          <w:color w:val="000000"/>
          <w:sz w:val="28"/>
          <w:szCs w:val="28"/>
        </w:rPr>
        <w:t xml:space="preserve">электропитание от однофазной сети переменного тока напряжением 220 В ±10% и частотой 50 Гц</w:t>
      </w:r>
      <w:r>
        <w:rPr>
          <w:color w:val="000000"/>
          <w:sz w:val="28"/>
          <w:szCs w:val="28"/>
        </w:rPr>
        <w:t xml:space="preserve">.</w:t>
      </w:r>
      <w:r>
        <w:rPr>
          <w:color w:val="000000"/>
          <w:sz w:val="28"/>
          <w:szCs w:val="28"/>
        </w:rPr>
      </w:r>
      <w:r>
        <w:rPr>
          <w:color w:val="000000"/>
          <w:sz w:val="28"/>
          <w:szCs w:val="28"/>
        </w:rPr>
      </w:r>
    </w:p>
    <w:p>
      <w:pPr>
        <w:pStyle w:val="914"/>
        <w:numPr>
          <w:ilvl w:val="1"/>
          <w:numId w:val="6"/>
        </w:numPr>
        <w:contextualSpacing/>
        <w:ind w:left="0" w:right="0" w:firstLine="709"/>
        <w:widowControl w:val="off"/>
        <w:tabs>
          <w:tab w:val="left" w:pos="993" w:leader="none"/>
        </w:tabs>
        <w:rPr>
          <w:color w:val="000000"/>
          <w:sz w:val="28"/>
          <w:szCs w:val="28"/>
        </w:rPr>
      </w:pPr>
      <w:r>
        <w:rPr>
          <w:color w:val="000000"/>
          <w:sz w:val="28"/>
          <w:szCs w:val="28"/>
        </w:rPr>
        <w:t xml:space="preserve">О</w:t>
      </w:r>
      <w:r>
        <w:rPr>
          <w:color w:val="000000"/>
          <w:sz w:val="28"/>
          <w:szCs w:val="28"/>
        </w:rPr>
        <w:t xml:space="preserve">существлять </w:t>
      </w:r>
      <w:r>
        <w:rPr>
          <w:color w:val="000000"/>
          <w:sz w:val="28"/>
          <w:szCs w:val="28"/>
        </w:rPr>
        <w:t xml:space="preserve">подключение к электрической сети через автоматические выключатели необходимого номинала</w:t>
      </w:r>
      <w:r>
        <w:rPr>
          <w:color w:val="000000"/>
          <w:sz w:val="28"/>
          <w:szCs w:val="28"/>
        </w:rPr>
        <w:t xml:space="preserve">.</w:t>
      </w:r>
      <w:r>
        <w:rPr>
          <w:color w:val="000000"/>
          <w:sz w:val="28"/>
          <w:szCs w:val="28"/>
        </w:rPr>
        <w:t xml:space="preserve"> </w:t>
      </w:r>
      <w:r>
        <w:rPr>
          <w:color w:val="000000"/>
          <w:sz w:val="28"/>
          <w:szCs w:val="28"/>
        </w:rPr>
      </w:r>
      <w:r>
        <w:rPr>
          <w:color w:val="000000"/>
          <w:sz w:val="28"/>
          <w:szCs w:val="28"/>
        </w:rPr>
      </w:r>
    </w:p>
    <w:p>
      <w:pPr>
        <w:pStyle w:val="914"/>
        <w:numPr>
          <w:ilvl w:val="0"/>
          <w:numId w:val="6"/>
        </w:numPr>
        <w:contextualSpacing/>
        <w:ind w:left="0" w:right="0" w:firstLine="709"/>
        <w:widowControl w:val="off"/>
        <w:tabs>
          <w:tab w:val="clear" w:pos="540" w:leader="none"/>
          <w:tab w:val="left" w:pos="709" w:leader="none"/>
          <w:tab w:val="left" w:pos="851" w:leader="none"/>
          <w:tab w:val="left" w:pos="1134" w:leader="none"/>
          <w:tab w:val="num" w:pos="4793" w:leader="none"/>
        </w:tabs>
        <w:rPr>
          <w:color w:val="000000"/>
          <w:sz w:val="28"/>
          <w:szCs w:val="28"/>
        </w:rPr>
      </w:pPr>
      <w:r>
        <w:rPr>
          <w:color w:val="000000"/>
          <w:sz w:val="28"/>
          <w:szCs w:val="28"/>
        </w:rPr>
        <w:t xml:space="preserve">Требуется также о</w:t>
      </w:r>
      <w:r>
        <w:rPr>
          <w:color w:val="000000"/>
          <w:sz w:val="28"/>
          <w:szCs w:val="28"/>
        </w:rPr>
        <w:t xml:space="preserve">беспечить автоматическую корректировку точности хода встроенных в прибор учета часов.</w:t>
      </w:r>
      <w:r>
        <w:rPr>
          <w:color w:val="000000"/>
          <w:sz w:val="28"/>
          <w:szCs w:val="28"/>
        </w:rPr>
      </w:r>
      <w:r>
        <w:rPr>
          <w:color w:val="000000"/>
          <w:sz w:val="28"/>
          <w:szCs w:val="28"/>
        </w:rPr>
      </w:r>
    </w:p>
    <w:p>
      <w:pPr>
        <w:pStyle w:val="914"/>
        <w:numPr>
          <w:ilvl w:val="0"/>
          <w:numId w:val="6"/>
        </w:numPr>
        <w:contextualSpacing/>
        <w:ind w:left="0" w:right="0" w:firstLine="709"/>
        <w:widowControl w:val="off"/>
        <w:tabs>
          <w:tab w:val="clear" w:pos="540" w:leader="none"/>
          <w:tab w:val="left" w:pos="709" w:leader="none"/>
          <w:tab w:val="left" w:pos="851" w:leader="none"/>
          <w:tab w:val="left" w:pos="1134" w:leader="none"/>
          <w:tab w:val="num" w:pos="4793" w:leader="none"/>
        </w:tabs>
        <w:rPr>
          <w:color w:val="000000"/>
          <w:sz w:val="28"/>
          <w:szCs w:val="28"/>
        </w:rPr>
      </w:pPr>
      <w:r>
        <w:rPr>
          <w:color w:val="000000"/>
          <w:sz w:val="28"/>
          <w:szCs w:val="28"/>
        </w:rPr>
        <w:t xml:space="preserve">Для организации учета электропотребления и с целью обеспечения </w:t>
      </w:r>
      <w:r>
        <w:rPr>
          <w:color w:val="000000"/>
          <w:sz w:val="28"/>
          <w:szCs w:val="28"/>
        </w:rPr>
        <w:t xml:space="preserve">ис</w:t>
      </w:r>
      <w:r>
        <w:rPr>
          <w:color w:val="000000"/>
          <w:sz w:val="28"/>
          <w:szCs w:val="28"/>
        </w:rPr>
        <w:t xml:space="preserve">полнения требований ПУЭ, ПУЭЭ, СП 256.1325800.2016, РД 34.09.101-94 необходимо:</w:t>
      </w:r>
      <w:r>
        <w:rPr>
          <w:color w:val="000000"/>
          <w:sz w:val="28"/>
          <w:szCs w:val="28"/>
        </w:rPr>
      </w:r>
      <w:r>
        <w:rPr>
          <w:color w:val="000000"/>
          <w:sz w:val="28"/>
          <w:szCs w:val="28"/>
        </w:rPr>
      </w:r>
    </w:p>
    <w:p>
      <w:pPr>
        <w:pStyle w:val="914"/>
        <w:numPr>
          <w:ilvl w:val="1"/>
          <w:numId w:val="6"/>
        </w:numPr>
        <w:contextualSpacing/>
        <w:ind w:left="0" w:right="0" w:firstLine="698"/>
        <w:spacing w:line="340" w:lineRule="exact"/>
        <w:widowControl w:val="off"/>
        <w:tabs>
          <w:tab w:val="num" w:pos="720" w:leader="none"/>
          <w:tab w:val="clear" w:pos="1440" w:leader="none"/>
        </w:tabs>
        <w:rPr>
          <w:color w:val="000000"/>
          <w:sz w:val="28"/>
          <w:szCs w:val="28"/>
          <w:highlight w:val="white"/>
        </w:rPr>
      </w:pPr>
      <w:r>
        <w:rPr>
          <w:color w:val="000000"/>
          <w:sz w:val="28"/>
          <w:szCs w:val="28"/>
        </w:rPr>
        <w:t xml:space="preserve">В</w:t>
      </w:r>
      <w:r>
        <w:rPr>
          <w:color w:val="000000"/>
          <w:sz w:val="28"/>
          <w:szCs w:val="28"/>
        </w:rPr>
        <w:t xml:space="preserve">ыполнить проектную документацию по жилому дому в соответствии с настоящими </w:t>
      </w:r>
      <w:r>
        <w:rPr>
          <w:color w:val="000000"/>
          <w:sz w:val="28"/>
          <w:szCs w:val="28"/>
        </w:rPr>
        <w:t xml:space="preserve">Т</w:t>
      </w:r>
      <w:r>
        <w:rPr>
          <w:color w:val="000000"/>
          <w:sz w:val="28"/>
          <w:szCs w:val="28"/>
        </w:rPr>
        <w:t xml:space="preserve">ехническими </w:t>
      </w:r>
      <w:r>
        <w:rPr>
          <w:color w:val="000000"/>
          <w:sz w:val="28"/>
          <w:szCs w:val="28"/>
        </w:rPr>
        <w:t xml:space="preserve">требованиями</w:t>
      </w:r>
      <w:r>
        <w:rPr>
          <w:color w:val="000000"/>
          <w:sz w:val="28"/>
          <w:szCs w:val="28"/>
        </w:rPr>
        <w:t xml:space="preserve"> (проект внутреннего электрооборудования и проект построения интеллектуальной системы учета с устройством сбора и передачи данных). </w:t>
      </w:r>
      <w:r>
        <w:rPr>
          <w:color w:val="000000"/>
          <w:sz w:val="28"/>
          <w:szCs w:val="28"/>
        </w:rPr>
        <w:t xml:space="preserve">При разработке проектной документации построение интеллектуальной системы учета электрической энергии (мощности) осуществлят</w:t>
      </w:r>
      <w:r>
        <w:rPr>
          <w:color w:val="000000"/>
          <w:sz w:val="28"/>
          <w:szCs w:val="28"/>
        </w:rPr>
        <w:t xml:space="preserve">ь</w:t>
      </w:r>
      <w:r>
        <w:rPr>
          <w:color w:val="000000"/>
          <w:sz w:val="28"/>
          <w:szCs w:val="28"/>
        </w:rPr>
        <w:t xml:space="preserve"> беспроводным способом в случае наличия </w:t>
      </w:r>
      <w:r>
        <w:rPr>
          <w:color w:val="000000"/>
          <w:sz w:val="28"/>
          <w:szCs w:val="28"/>
          <w:highlight w:val="white"/>
        </w:rPr>
        <w:t xml:space="preserve">технической возможности</w:t>
      </w:r>
      <w:r>
        <w:rPr>
          <w:color w:val="000000"/>
          <w:sz w:val="28"/>
          <w:szCs w:val="28"/>
          <w:highlight w:val="white"/>
        </w:rPr>
        <w:t xml:space="preserve">.  </w:t>
      </w:r>
      <w:r>
        <w:rPr>
          <w:color w:val="000000"/>
          <w:sz w:val="28"/>
          <w:szCs w:val="28"/>
          <w:highlight w:val="white"/>
        </w:rPr>
      </w:r>
      <w:r>
        <w:rPr>
          <w:color w:val="000000"/>
          <w:sz w:val="28"/>
          <w:szCs w:val="28"/>
          <w:highlight w:val="white"/>
        </w:rPr>
      </w:r>
    </w:p>
    <w:p>
      <w:pPr>
        <w:pStyle w:val="914"/>
        <w:numPr>
          <w:ilvl w:val="1"/>
          <w:numId w:val="6"/>
        </w:numPr>
        <w:contextualSpacing/>
        <w:ind w:left="0" w:right="0" w:firstLine="709"/>
        <w:spacing w:line="340" w:lineRule="exact"/>
        <w:widowControl w:val="off"/>
        <w:rPr>
          <w:sz w:val="28"/>
          <w:szCs w:val="28"/>
          <w:highlight w:val="white"/>
        </w:rPr>
      </w:pPr>
      <w:r>
        <w:rPr>
          <w:color w:val="000000"/>
          <w:sz w:val="28"/>
          <w:szCs w:val="28"/>
          <w:highlight w:val="white"/>
        </w:rPr>
        <w:t xml:space="preserve">П</w:t>
      </w:r>
      <w:r>
        <w:rPr>
          <w:color w:val="000000"/>
          <w:sz w:val="28"/>
          <w:szCs w:val="28"/>
          <w:highlight w:val="white"/>
        </w:rPr>
        <w:t xml:space="preserve">редставить документацию на рассмотрение и согласование в </w:t>
      </w:r>
      <w:r>
        <w:rPr>
          <w:sz w:val="28"/>
          <w:szCs w:val="28"/>
          <w:highlight w:val="white"/>
        </w:rPr>
        <w:t xml:space="preserve"> </w:t>
      </w:r>
      <w:r>
        <w:rPr>
          <w:sz w:val="28"/>
          <w:szCs w:val="28"/>
          <w:highlight w:val="white"/>
        </w:rPr>
        <w:t xml:space="preserve">ПАО «Саратовэнерго».</w:t>
      </w:r>
      <w:r>
        <w:rPr>
          <w:sz w:val="28"/>
          <w:szCs w:val="28"/>
          <w:highlight w:val="white"/>
        </w:rPr>
      </w:r>
      <w:r>
        <w:rPr>
          <w:sz w:val="28"/>
          <w:szCs w:val="28"/>
          <w:highlight w:val="white"/>
        </w:rPr>
      </w:r>
    </w:p>
    <w:p>
      <w:pPr>
        <w:pStyle w:val="914"/>
        <w:numPr>
          <w:ilvl w:val="1"/>
          <w:numId w:val="6"/>
        </w:numPr>
        <w:contextualSpacing/>
        <w:ind w:left="0" w:right="0" w:firstLine="709"/>
        <w:widowControl w:val="off"/>
        <w:rPr>
          <w:sz w:val="28"/>
          <w:szCs w:val="28"/>
        </w:rPr>
      </w:pPr>
      <w:r>
        <w:rPr>
          <w:sz w:val="28"/>
          <w:szCs w:val="28"/>
          <w:highlight w:val="white"/>
        </w:rPr>
        <w:t xml:space="preserve">И</w:t>
      </w:r>
      <w:r>
        <w:rPr>
          <w:sz w:val="28"/>
          <w:szCs w:val="28"/>
          <w:highlight w:val="white"/>
        </w:rPr>
        <w:t xml:space="preserve">змерительные трансформаторы тока (далее – ТТ) выбирать в соответствии с требованиями гл. 6 Инструкции по проектированию учета электропотребления в ж</w:t>
      </w:r>
      <w:r>
        <w:rPr>
          <w:sz w:val="28"/>
          <w:szCs w:val="28"/>
        </w:rPr>
        <w:t xml:space="preserve">илых и общественных зданиях РМ-2559, СП</w:t>
      </w:r>
      <w:r>
        <w:rPr>
          <w:sz w:val="28"/>
          <w:szCs w:val="28"/>
        </w:rPr>
        <w:t xml:space="preserve"> </w:t>
      </w:r>
      <w:r>
        <w:rPr>
          <w:sz w:val="28"/>
          <w:szCs w:val="28"/>
        </w:rPr>
        <w:t xml:space="preserve">256.1325800.2016 и расчетной нагрузкой. Класс точности измерительных ТТ, используемых в измерительных к</w:t>
      </w:r>
      <w:r>
        <w:rPr>
          <w:sz w:val="28"/>
          <w:szCs w:val="28"/>
        </w:rPr>
        <w:t xml:space="preserve">омплексах, должен быть не ниже 0,5. Испытательная коробка обязательна (для прибора учета электроэнергии трансформаторного включения) должна устанавливаться под прибором учета. Цепи учета должны быть выполнены гибким медным проводом сечением не менее 2,5 мм</w:t>
      </w:r>
      <w:r>
        <w:rPr>
          <w:sz w:val="28"/>
          <w:szCs w:val="28"/>
          <w:vertAlign w:val="superscript"/>
        </w:rPr>
        <w:t xml:space="preserve">2</w:t>
      </w:r>
      <w:r>
        <w:rPr>
          <w:sz w:val="28"/>
          <w:szCs w:val="28"/>
        </w:rPr>
        <w:t xml:space="preserve">, промаркированы, проложены единым жгутом и не иметь разрывов. В жгуте </w:t>
      </w:r>
      <w:r>
        <w:rPr>
          <w:sz w:val="28"/>
          <w:szCs w:val="28"/>
        </w:rPr>
        <w:t xml:space="preserve">требуется </w:t>
      </w:r>
      <w:r>
        <w:rPr>
          <w:sz w:val="28"/>
          <w:szCs w:val="28"/>
        </w:rPr>
        <w:t xml:space="preserve">проложить два дополнительных резервных проводника. Цепи учета должны быть защищены от механических повреждений (проложены в металлорукавах, коробах, трубах ПВХ и т.п.)</w:t>
      </w:r>
      <w:r>
        <w:rPr>
          <w:sz w:val="28"/>
          <w:szCs w:val="28"/>
        </w:rPr>
        <w:t xml:space="preserve">.</w:t>
      </w:r>
      <w:r>
        <w:rPr>
          <w:sz w:val="28"/>
          <w:szCs w:val="28"/>
        </w:rPr>
      </w:r>
      <w:r>
        <w:rPr>
          <w:sz w:val="28"/>
          <w:szCs w:val="28"/>
        </w:rPr>
      </w:r>
    </w:p>
    <w:p>
      <w:pPr>
        <w:pStyle w:val="914"/>
        <w:numPr>
          <w:ilvl w:val="1"/>
          <w:numId w:val="6"/>
        </w:numPr>
        <w:contextualSpacing/>
        <w:ind w:left="0" w:right="0" w:firstLine="709"/>
        <w:widowControl w:val="off"/>
        <w:rPr>
          <w:sz w:val="28"/>
          <w:szCs w:val="28"/>
        </w:rPr>
      </w:pPr>
      <w:r>
        <w:rPr>
          <w:sz w:val="28"/>
          <w:szCs w:val="28"/>
        </w:rPr>
        <w:t xml:space="preserve">К</w:t>
      </w:r>
      <w:r>
        <w:rPr>
          <w:sz w:val="28"/>
          <w:szCs w:val="28"/>
        </w:rPr>
        <w:t xml:space="preserve">онтакты вторичной обмотки ТТ должны быть закрыты от несанкционированного доступа, конструкция ТТ должна обеспечивать возможность пломбировки. </w:t>
      </w:r>
      <w:r>
        <w:rPr>
          <w:sz w:val="28"/>
          <w:szCs w:val="28"/>
        </w:rPr>
        <w:t xml:space="preserve">П</w:t>
      </w:r>
      <w:r>
        <w:rPr>
          <w:sz w:val="28"/>
          <w:szCs w:val="28"/>
        </w:rPr>
        <w:t xml:space="preserve">одключ</w:t>
      </w:r>
      <w:r>
        <w:rPr>
          <w:sz w:val="28"/>
          <w:szCs w:val="28"/>
        </w:rPr>
        <w:t xml:space="preserve">ение</w:t>
      </w:r>
      <w:r>
        <w:rPr>
          <w:sz w:val="28"/>
          <w:szCs w:val="28"/>
        </w:rPr>
        <w:t xml:space="preserve"> </w:t>
      </w:r>
      <w:r>
        <w:rPr>
          <w:sz w:val="28"/>
          <w:szCs w:val="28"/>
        </w:rPr>
        <w:t xml:space="preserve">и</w:t>
      </w:r>
      <w:r>
        <w:rPr>
          <w:sz w:val="28"/>
          <w:szCs w:val="28"/>
        </w:rPr>
        <w:t xml:space="preserve">змерительны</w:t>
      </w:r>
      <w:r>
        <w:rPr>
          <w:sz w:val="28"/>
          <w:szCs w:val="28"/>
        </w:rPr>
        <w:t xml:space="preserve">х</w:t>
      </w:r>
      <w:r>
        <w:rPr>
          <w:sz w:val="28"/>
          <w:szCs w:val="28"/>
        </w:rPr>
        <w:t xml:space="preserve"> прибор</w:t>
      </w:r>
      <w:r>
        <w:rPr>
          <w:sz w:val="28"/>
          <w:szCs w:val="28"/>
        </w:rPr>
        <w:t xml:space="preserve">ов</w:t>
      </w:r>
      <w:r>
        <w:rPr>
          <w:sz w:val="28"/>
          <w:szCs w:val="28"/>
        </w:rPr>
        <w:t xml:space="preserve"> к ТТ совместно с приборами учета электроэнергии не допускается</w:t>
      </w:r>
      <w:r>
        <w:rPr>
          <w:sz w:val="28"/>
          <w:szCs w:val="28"/>
        </w:rPr>
        <w:t xml:space="preserve">.</w:t>
      </w:r>
      <w:r>
        <w:rPr>
          <w:sz w:val="28"/>
          <w:szCs w:val="28"/>
        </w:rPr>
      </w:r>
      <w:r>
        <w:rPr>
          <w:sz w:val="28"/>
          <w:szCs w:val="28"/>
        </w:rPr>
      </w:r>
    </w:p>
    <w:p>
      <w:pPr>
        <w:pStyle w:val="914"/>
        <w:numPr>
          <w:ilvl w:val="1"/>
          <w:numId w:val="6"/>
        </w:numPr>
        <w:contextualSpacing/>
        <w:ind w:left="0" w:right="0" w:firstLine="709"/>
        <w:widowControl w:val="off"/>
        <w:rPr>
          <w:color w:val="000000"/>
          <w:sz w:val="28"/>
          <w:szCs w:val="28"/>
        </w:rPr>
      </w:pPr>
      <w:r>
        <w:rPr>
          <w:sz w:val="28"/>
          <w:szCs w:val="28"/>
        </w:rPr>
        <w:t xml:space="preserve">Р</w:t>
      </w:r>
      <w:r>
        <w:rPr>
          <w:sz w:val="28"/>
          <w:szCs w:val="28"/>
        </w:rPr>
        <w:t xml:space="preserve">екомендуется </w:t>
      </w:r>
      <w:r>
        <w:rPr>
          <w:sz w:val="28"/>
          <w:szCs w:val="28"/>
        </w:rPr>
        <w:t xml:space="preserve">для обеспечения защиты от перенапряжения оборудования АИИС КУЭ и, в частности, основного их элемента, электронных приборов учета электроэнергии </w:t>
      </w:r>
      <w:r>
        <w:rPr>
          <w:color w:val="000000"/>
          <w:sz w:val="28"/>
          <w:szCs w:val="28"/>
        </w:rPr>
        <w:t xml:space="preserve">непосредственного включения (п. 18.1.21 СП 256.1325800.2016) устанавливать специальный аппарат, отключающий прибор учета электроэнергии от сети при повышении напряжения в ней выше 265 В за время 0,5 с. </w:t>
      </w:r>
      <w:r>
        <w:rPr>
          <w:color w:val="000000"/>
          <w:sz w:val="28"/>
          <w:szCs w:val="28"/>
        </w:rPr>
      </w:r>
      <w:r>
        <w:rPr>
          <w:color w:val="000000"/>
          <w:sz w:val="28"/>
          <w:szCs w:val="28"/>
        </w:rPr>
      </w:r>
    </w:p>
    <w:p>
      <w:pPr>
        <w:pStyle w:val="914"/>
        <w:contextualSpacing/>
        <w:ind w:left="0" w:right="0" w:firstLine="709"/>
        <w:widowControl w:val="off"/>
        <w:rPr>
          <w:color w:val="000000"/>
          <w:sz w:val="28"/>
          <w:szCs w:val="28"/>
        </w:rPr>
      </w:pPr>
      <w:r>
        <w:rPr>
          <w:color w:val="000000"/>
          <w:sz w:val="28"/>
          <w:szCs w:val="28"/>
        </w:rPr>
        <w:t xml:space="preserve">В качестве такого аппарата может использоваться реле контроля напряжения (п. 18.1.21 СП 256.1325800.2016), устанавливаемое до прибора учета.</w:t>
      </w:r>
      <w:r>
        <w:rPr>
          <w:color w:val="000000"/>
          <w:sz w:val="28"/>
          <w:szCs w:val="28"/>
        </w:rPr>
      </w:r>
      <w:r>
        <w:rPr>
          <w:color w:val="000000"/>
          <w:sz w:val="28"/>
          <w:szCs w:val="28"/>
        </w:rPr>
      </w:r>
    </w:p>
    <w:p>
      <w:pPr>
        <w:pStyle w:val="914"/>
        <w:numPr>
          <w:ilvl w:val="0"/>
          <w:numId w:val="6"/>
        </w:numPr>
        <w:contextualSpacing/>
        <w:ind w:left="0" w:right="0" w:firstLine="709"/>
        <w:widowControl w:val="off"/>
        <w:tabs>
          <w:tab w:val="clear" w:pos="540" w:leader="none"/>
          <w:tab w:val="left" w:pos="709" w:leader="none"/>
          <w:tab w:val="left" w:pos="851" w:leader="none"/>
          <w:tab w:val="left" w:pos="1134" w:leader="none"/>
          <w:tab w:val="num" w:pos="4793" w:leader="none"/>
        </w:tabs>
        <w:rPr>
          <w:color w:val="000000"/>
          <w:sz w:val="28"/>
          <w:szCs w:val="28"/>
        </w:rPr>
      </w:pPr>
      <w:r>
        <w:rPr>
          <w:color w:val="000000"/>
          <w:sz w:val="28"/>
          <w:szCs w:val="28"/>
        </w:rPr>
        <w:t xml:space="preserve">Установленные приборы учета электрической энергии и другое установленное оборудование, включенные в </w:t>
      </w:r>
      <w:r>
        <w:rPr>
          <w:sz w:val="28"/>
          <w:szCs w:val="28"/>
        </w:rPr>
        <w:t xml:space="preserve">систему управления потоками сбора и передачи данных с интеллектуальных приборов учета «Пионер» (СУП СПД «Пионер»)</w:t>
      </w:r>
      <w:r>
        <w:rPr>
          <w:color w:val="000000"/>
          <w:sz w:val="28"/>
          <w:szCs w:val="28"/>
        </w:rPr>
        <w:t xml:space="preserve">, должны быть допущены в эксплуатацию в соответствии с порядком, предусмотренным п.</w:t>
      </w:r>
      <w:r>
        <w:rPr>
          <w:color w:val="000000"/>
          <w:sz w:val="28"/>
          <w:szCs w:val="28"/>
        </w:rPr>
        <w:t xml:space="preserve"> </w:t>
      </w:r>
      <w:r>
        <w:rPr>
          <w:color w:val="000000"/>
          <w:sz w:val="28"/>
          <w:szCs w:val="28"/>
        </w:rPr>
        <w:t xml:space="preserve">152 Основных положений № 442 и переданы в эксплуатацию гарантирующему поставщику согласно п</w:t>
      </w:r>
      <w:r>
        <w:rPr>
          <w:color w:val="000000"/>
          <w:sz w:val="28"/>
          <w:szCs w:val="28"/>
        </w:rPr>
        <w:t xml:space="preserve">п</w:t>
      </w:r>
      <w:r>
        <w:rPr>
          <w:color w:val="000000"/>
          <w:sz w:val="28"/>
          <w:szCs w:val="28"/>
        </w:rPr>
        <w:t xml:space="preserve">.</w:t>
      </w:r>
      <w:r>
        <w:rPr>
          <w:color w:val="000000"/>
          <w:sz w:val="28"/>
          <w:szCs w:val="28"/>
        </w:rPr>
        <w:t xml:space="preserve"> </w:t>
      </w:r>
      <w:r>
        <w:rPr>
          <w:color w:val="000000"/>
          <w:sz w:val="28"/>
          <w:szCs w:val="28"/>
        </w:rPr>
        <w:t xml:space="preserve">197(4) – 197(10) Основных положений № 442</w:t>
      </w:r>
      <w:r>
        <w:rPr>
          <w:color w:val="000000"/>
          <w:sz w:val="28"/>
          <w:szCs w:val="28"/>
        </w:rPr>
        <w:t xml:space="preserve">.</w:t>
      </w:r>
      <w:r>
        <w:rPr>
          <w:color w:val="000000"/>
          <w:sz w:val="28"/>
          <w:szCs w:val="28"/>
        </w:rPr>
      </w:r>
      <w:r>
        <w:rPr>
          <w:color w:val="000000"/>
          <w:sz w:val="28"/>
          <w:szCs w:val="28"/>
        </w:rPr>
      </w:r>
    </w:p>
    <w:p>
      <w:pPr>
        <w:pStyle w:val="914"/>
        <w:numPr>
          <w:ilvl w:val="0"/>
          <w:numId w:val="6"/>
        </w:numPr>
        <w:contextualSpacing/>
        <w:ind w:left="0" w:right="0" w:firstLine="709"/>
        <w:widowControl w:val="off"/>
        <w:tabs>
          <w:tab w:val="clear" w:pos="540" w:leader="none"/>
          <w:tab w:val="left" w:pos="709" w:leader="none"/>
          <w:tab w:val="left" w:pos="851" w:leader="none"/>
          <w:tab w:val="left" w:pos="1134" w:leader="none"/>
          <w:tab w:val="num" w:pos="4793" w:leader="none"/>
        </w:tabs>
        <w:rPr>
          <w:color w:val="000000"/>
          <w:sz w:val="28"/>
          <w:szCs w:val="28"/>
        </w:rPr>
      </w:pPr>
      <w:r>
        <w:rPr>
          <w:color w:val="000000"/>
          <w:sz w:val="28"/>
          <w:szCs w:val="28"/>
        </w:rPr>
        <w:t xml:space="preserve">При передаче в эксплуатацию передающей стороной должна быть гарантирована работоспособность приборов учета электроэнергии и иного оборудования, входящего в интеллектуальную систему учета, на срок не менее 3 (тр</w:t>
      </w:r>
      <w:r>
        <w:rPr>
          <w:color w:val="000000"/>
          <w:sz w:val="28"/>
          <w:szCs w:val="28"/>
        </w:rPr>
        <w:t xml:space="preserve">е</w:t>
      </w:r>
      <w:r>
        <w:rPr>
          <w:color w:val="000000"/>
          <w:sz w:val="28"/>
          <w:szCs w:val="28"/>
        </w:rPr>
        <w:t xml:space="preserve">х) лет</w:t>
      </w:r>
      <w:r>
        <w:rPr>
          <w:color w:val="000000"/>
          <w:sz w:val="28"/>
          <w:szCs w:val="28"/>
        </w:rPr>
      </w:r>
      <w:r>
        <w:rPr>
          <w:color w:val="000000"/>
          <w:sz w:val="28"/>
          <w:szCs w:val="28"/>
        </w:rPr>
      </w:r>
    </w:p>
    <w:p>
      <w:pPr>
        <w:pStyle w:val="914"/>
        <w:numPr>
          <w:ilvl w:val="0"/>
          <w:numId w:val="6"/>
        </w:numPr>
        <w:contextualSpacing/>
        <w:ind w:left="0" w:right="0" w:firstLine="709"/>
        <w:widowControl w:val="off"/>
        <w:tabs>
          <w:tab w:val="clear" w:pos="540" w:leader="none"/>
          <w:tab w:val="left" w:pos="709" w:leader="none"/>
          <w:tab w:val="left" w:pos="851" w:leader="none"/>
          <w:tab w:val="left" w:pos="1134" w:leader="none"/>
          <w:tab w:val="num" w:pos="4793" w:leader="none"/>
        </w:tabs>
        <w:rPr>
          <w:color w:val="000000"/>
          <w:sz w:val="28"/>
          <w:szCs w:val="28"/>
        </w:rPr>
      </w:pPr>
      <w:r>
        <w:rPr>
          <w:color w:val="000000"/>
          <w:sz w:val="28"/>
          <w:szCs w:val="28"/>
        </w:rPr>
        <w:t xml:space="preserve">Срок действия настоящих технических </w:t>
      </w:r>
      <w:r>
        <w:rPr>
          <w:color w:val="000000"/>
          <w:sz w:val="28"/>
          <w:szCs w:val="28"/>
        </w:rPr>
        <w:t xml:space="preserve">требований</w:t>
      </w:r>
      <w:r>
        <w:rPr>
          <w:color w:val="000000"/>
          <w:sz w:val="28"/>
          <w:szCs w:val="28"/>
        </w:rPr>
        <w:t xml:space="preserve"> – два года.</w:t>
      </w:r>
      <w:r>
        <w:rPr>
          <w:color w:val="000000"/>
          <w:sz w:val="28"/>
          <w:szCs w:val="28"/>
        </w:rPr>
      </w:r>
      <w:r>
        <w:rPr>
          <w:color w:val="000000"/>
          <w:sz w:val="28"/>
          <w:szCs w:val="28"/>
        </w:rPr>
      </w:r>
    </w:p>
    <w:p>
      <w:pPr>
        <w:pStyle w:val="914"/>
        <w:numPr>
          <w:ilvl w:val="0"/>
          <w:numId w:val="6"/>
        </w:numPr>
        <w:contextualSpacing/>
        <w:ind w:left="0" w:right="0" w:firstLine="709"/>
        <w:widowControl w:val="off"/>
        <w:tabs>
          <w:tab w:val="clear" w:pos="540" w:leader="none"/>
          <w:tab w:val="left" w:pos="709" w:leader="none"/>
          <w:tab w:val="left" w:pos="851" w:leader="none"/>
          <w:tab w:val="left" w:pos="1134" w:leader="none"/>
          <w:tab w:val="num" w:pos="4793" w:leader="none"/>
        </w:tabs>
        <w:rPr>
          <w:color w:val="000000"/>
          <w:sz w:val="28"/>
          <w:szCs w:val="28"/>
        </w:rPr>
      </w:pPr>
      <w:r>
        <w:rPr>
          <w:color w:val="000000"/>
          <w:sz w:val="28"/>
          <w:szCs w:val="28"/>
        </w:rPr>
        <w:t xml:space="preserve">Приложения:</w:t>
      </w:r>
      <w:r>
        <w:rPr>
          <w:color w:val="000000"/>
          <w:sz w:val="28"/>
          <w:szCs w:val="28"/>
        </w:rPr>
      </w:r>
      <w:r>
        <w:rPr>
          <w:color w:val="000000"/>
          <w:sz w:val="28"/>
          <w:szCs w:val="28"/>
        </w:rPr>
      </w:r>
    </w:p>
    <w:p>
      <w:pPr>
        <w:pStyle w:val="914"/>
        <w:contextualSpacing/>
        <w:ind w:left="0" w:right="0" w:firstLine="709"/>
        <w:widowControl w:val="off"/>
        <w:tabs>
          <w:tab w:val="left" w:pos="709" w:leader="none"/>
          <w:tab w:val="left" w:pos="851" w:leader="none"/>
          <w:tab w:val="left" w:pos="1134" w:leader="none"/>
        </w:tabs>
        <w:rPr>
          <w:color w:val="000000"/>
          <w:sz w:val="28"/>
          <w:szCs w:val="28"/>
        </w:rPr>
      </w:pPr>
      <w:r>
        <w:rPr>
          <w:color w:val="000000"/>
          <w:sz w:val="28"/>
          <w:szCs w:val="28"/>
        </w:rPr>
        <w:t xml:space="preserve">- приложение № 1</w:t>
      </w:r>
      <w:r>
        <w:rPr>
          <w:color w:val="000000"/>
          <w:sz w:val="28"/>
          <w:szCs w:val="28"/>
        </w:rPr>
        <w:t xml:space="preserve"> «</w:t>
      </w:r>
      <w:r>
        <w:rPr>
          <w:color w:val="000000"/>
          <w:sz w:val="28"/>
          <w:szCs w:val="28"/>
        </w:rPr>
        <w:t xml:space="preserve">Типовое техническое решение по организации коммерческого учета электроэнергии в жилых домах-новостройках с использованием самоорганизующейся ZigBee сети и беспроводного (GPRS) канала связи</w:t>
      </w:r>
      <w:r>
        <w:rPr>
          <w:color w:val="000000"/>
          <w:sz w:val="28"/>
          <w:szCs w:val="28"/>
        </w:rPr>
        <w:t xml:space="preserve">»;</w:t>
      </w:r>
      <w:r>
        <w:rPr>
          <w:color w:val="000000"/>
          <w:sz w:val="28"/>
          <w:szCs w:val="28"/>
        </w:rPr>
      </w:r>
      <w:r>
        <w:rPr>
          <w:color w:val="000000"/>
          <w:sz w:val="28"/>
          <w:szCs w:val="28"/>
        </w:rPr>
      </w:r>
    </w:p>
    <w:p>
      <w:pPr>
        <w:pStyle w:val="914"/>
        <w:contextualSpacing/>
        <w:ind w:left="0" w:right="0" w:firstLine="709"/>
        <w:widowControl w:val="off"/>
        <w:tabs>
          <w:tab w:val="left" w:pos="709" w:leader="none"/>
          <w:tab w:val="left" w:pos="851" w:leader="none"/>
          <w:tab w:val="left" w:pos="1134" w:leader="none"/>
        </w:tabs>
        <w:rPr>
          <w:color w:val="000000"/>
          <w:sz w:val="28"/>
          <w:szCs w:val="28"/>
        </w:rPr>
      </w:pPr>
      <w:r>
        <w:rPr>
          <w:color w:val="000000"/>
          <w:sz w:val="28"/>
          <w:szCs w:val="28"/>
        </w:rPr>
        <w:t xml:space="preserve">- приложение № 2</w:t>
      </w:r>
      <w:r>
        <w:rPr>
          <w:color w:val="000000"/>
          <w:sz w:val="28"/>
          <w:szCs w:val="28"/>
        </w:rPr>
        <w:t xml:space="preserve"> «</w:t>
      </w:r>
      <w:r>
        <w:rPr>
          <w:color w:val="000000"/>
          <w:sz w:val="28"/>
          <w:szCs w:val="28"/>
        </w:rPr>
        <w:t xml:space="preserve">Типовое техническое решение по организации коммерческого учета электроэнергии в жилых домах-новостройках с использованием самоорганизующейся ZigBee сети и беспроводного (GPRS) канала связи</w:t>
      </w:r>
      <w:r>
        <w:rPr>
          <w:color w:val="000000"/>
          <w:sz w:val="28"/>
          <w:szCs w:val="28"/>
        </w:rPr>
        <w:t xml:space="preserve">»;</w:t>
      </w:r>
      <w:r>
        <w:rPr>
          <w:color w:val="000000"/>
          <w:sz w:val="28"/>
          <w:szCs w:val="28"/>
        </w:rPr>
      </w:r>
      <w:r>
        <w:rPr>
          <w:color w:val="000000"/>
          <w:sz w:val="28"/>
          <w:szCs w:val="28"/>
        </w:rPr>
      </w:r>
    </w:p>
    <w:p>
      <w:pPr>
        <w:pStyle w:val="914"/>
        <w:contextualSpacing/>
        <w:ind w:left="0" w:right="0" w:firstLine="709"/>
        <w:widowControl w:val="off"/>
        <w:tabs>
          <w:tab w:val="left" w:pos="709" w:leader="none"/>
          <w:tab w:val="left" w:pos="851" w:leader="none"/>
          <w:tab w:val="left" w:pos="1134" w:leader="none"/>
        </w:tabs>
        <w:rPr>
          <w:color w:val="000000"/>
          <w:sz w:val="28"/>
          <w:szCs w:val="28"/>
        </w:rPr>
      </w:pPr>
      <w:r>
        <w:rPr>
          <w:color w:val="000000"/>
          <w:sz w:val="28"/>
          <w:szCs w:val="28"/>
        </w:rPr>
        <w:t xml:space="preserve">- приложение № 3</w:t>
      </w:r>
      <w:r>
        <w:rPr>
          <w:color w:val="000000"/>
          <w:sz w:val="28"/>
          <w:szCs w:val="28"/>
        </w:rPr>
        <w:t xml:space="preserve"> «</w:t>
      </w:r>
      <w:r>
        <w:rPr>
          <w:color w:val="000000"/>
          <w:sz w:val="28"/>
          <w:szCs w:val="28"/>
        </w:rPr>
        <w:t xml:space="preserve">Типовое техническое решение по организации коммерческого учета электроэнергии в жилых домах-новостройках с использованием УСПД и беспроводного (GPRS) канала связи</w:t>
      </w:r>
      <w:r>
        <w:rPr>
          <w:color w:val="000000"/>
          <w:sz w:val="28"/>
          <w:szCs w:val="28"/>
        </w:rPr>
        <w:t xml:space="preserve">».</w:t>
      </w:r>
      <w:r>
        <w:rPr>
          <w:color w:val="000000"/>
          <w:sz w:val="28"/>
          <w:szCs w:val="28"/>
        </w:rPr>
      </w:r>
      <w:r>
        <w:rPr>
          <w:color w:val="000000"/>
          <w:sz w:val="28"/>
          <w:szCs w:val="28"/>
        </w:rPr>
      </w:r>
    </w:p>
    <w:p>
      <w:pPr>
        <w:pStyle w:val="905"/>
        <w:contextualSpacing/>
        <w:widowControl w:val="off"/>
        <w:rPr>
          <w:rFonts w:ascii="Times New Roman" w:hAnsi="Times New Roman"/>
          <w:sz w:val="28"/>
          <w:szCs w:val="28"/>
          <w:lang w:val="ru-RU"/>
        </w:rPr>
      </w:pPr>
      <w:r>
        <w:rPr>
          <w:rFonts w:ascii="Times New Roman" w:hAnsi="Times New Roman"/>
          <w:sz w:val="28"/>
          <w:szCs w:val="28"/>
          <w:lang w:val="ru-RU"/>
        </w:rPr>
      </w:r>
      <w:r>
        <w:rPr>
          <w:rFonts w:ascii="Times New Roman" w:hAnsi="Times New Roman"/>
          <w:sz w:val="28"/>
          <w:szCs w:val="28"/>
          <w:lang w:val="ru-RU"/>
        </w:rPr>
      </w:r>
      <w:r>
        <w:rPr>
          <w:rFonts w:ascii="Times New Roman" w:hAnsi="Times New Roman"/>
          <w:sz w:val="28"/>
          <w:szCs w:val="28"/>
          <w:lang w:val="ru-RU"/>
        </w:rPr>
      </w:r>
    </w:p>
    <w:p>
      <w:pPr>
        <w:pStyle w:val="899"/>
        <w:contextualSpacing/>
        <w:jc w:val="both"/>
        <w:widowControl w:val="off"/>
        <w:rPr>
          <w:rFonts w:cs="Arial"/>
          <w:b/>
          <w:iCs/>
          <w:szCs w:val="28"/>
        </w:rPr>
      </w:pPr>
      <w:r>
        <w:rPr>
          <w:rFonts w:cs="Arial"/>
          <w:b/>
          <w:iCs/>
          <w:szCs w:val="28"/>
        </w:rPr>
      </w:r>
      <w:r>
        <w:rPr>
          <w:rFonts w:cs="Arial"/>
          <w:b/>
          <w:iCs/>
          <w:szCs w:val="28"/>
        </w:rPr>
      </w:r>
      <w:r>
        <w:rPr>
          <w:rFonts w:cs="Arial"/>
          <w:b/>
          <w:iCs/>
          <w:szCs w:val="28"/>
        </w:rPr>
      </w:r>
    </w:p>
    <w:sectPr>
      <w:headerReference w:type="default" r:id="rId9"/>
      <w:headerReference w:type="even" r:id="rId10"/>
      <w:footerReference w:type="even" r:id="rId11"/>
      <w:footnotePr/>
      <w:endnotePr/>
      <w:type w:val="nextPage"/>
      <w:pgSz w:w="11899" w:h="16838" w:orient="portrait"/>
      <w:pgMar w:top="1134" w:right="709" w:bottom="1134" w:left="1701" w:header="624" w:footer="567"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Tahoma">
    <w:panose1 w:val="020B0604030504040204"/>
  </w:font>
  <w:font w:name="Times">
    <w:panose1 w:val="02000603000000000000"/>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8"/>
      <w:jc w:val="both"/>
    </w:pPr>
    <w:r/>
    <w:r/>
  </w:p>
  <w:p>
    <w:pPr>
      <w:pStyle w:val="91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5"/>
      <w:jc w:val="center"/>
    </w:pPr>
    <w:r>
      <w:fldChar w:fldCharType="begin"/>
    </w:r>
    <w:r>
      <w:instrText xml:space="preserve">PAGE   \* MERGEFORMAT</w:instrText>
    </w:r>
    <w:r>
      <w:fldChar w:fldCharType="separate"/>
    </w:r>
    <w:r>
      <w:rPr>
        <w:lang w:val="ru-RU"/>
      </w:rPr>
      <w:t xml:space="preserve">5</w:t>
    </w:r>
    <w:r>
      <w:fldChar w:fldCharType="end"/>
    </w:r>
    <w:r/>
  </w:p>
  <w:p>
    <w:pPr>
      <w:pStyle w:val="905"/>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5"/>
      <w:rPr>
        <w:rStyle w:val="906"/>
      </w:rPr>
      <w:framePr w:wrap="around" w:vAnchor="text" w:hAnchor="margin" w:xAlign="center" w:y="1"/>
    </w:pPr>
    <w:r>
      <w:rPr>
        <w:rStyle w:val="906"/>
      </w:rPr>
      <w:fldChar w:fldCharType="begin"/>
    </w:r>
    <w:r>
      <w:rPr>
        <w:rStyle w:val="906"/>
      </w:rPr>
      <w:instrText xml:space="preserve">PAGE  </w:instrText>
    </w:r>
    <w:r>
      <w:rPr>
        <w:rStyle w:val="906"/>
      </w:rPr>
      <w:fldChar w:fldCharType="separate"/>
    </w:r>
    <w:r>
      <w:rPr>
        <w:rStyle w:val="906"/>
      </w:rPr>
      <w:t xml:space="preserve">2</w:t>
    </w:r>
    <w:r>
      <w:rPr>
        <w:rStyle w:val="906"/>
      </w:rPr>
      <w:fldChar w:fldCharType="end"/>
    </w:r>
    <w:r>
      <w:rPr>
        <w:rStyle w:val="906"/>
      </w:rPr>
    </w:r>
    <w:r>
      <w:rPr>
        <w:rStyle w:val="906"/>
      </w:rPr>
    </w:r>
  </w:p>
  <w:p>
    <w:pPr>
      <w:pStyle w:val="90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lvl>
    <w:lvl w:ilvl="1">
      <w:start w:val="1"/>
      <w:numFmt w:val="bullet"/>
      <w:isLgl w:val="false"/>
      <w:suff w:val="tab"/>
      <w:lvlText w:val=""/>
      <w:lvlJc w:val="left"/>
      <w:pPr>
        <w:ind w:left="792" w:hanging="432"/>
      </w:pPr>
      <w:rPr>
        <w:rFonts w:ascii="Symbol" w:hAnsi="Symbol"/>
      </w:r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
    <w:multiLevelType w:val="hybridMultilevel"/>
    <w:lvl w:ilvl="0">
      <w:start w:val="1"/>
      <w:numFmt w:val="decimal"/>
      <w:isLgl w:val="false"/>
      <w:suff w:val="tab"/>
      <w:lvlText w:val="%1."/>
      <w:lvlJc w:val="left"/>
      <w:pPr>
        <w:ind w:left="1110" w:hanging="390"/>
        <w:tabs>
          <w:tab w:val="num" w:pos="1110" w:leader="none"/>
        </w:tabs>
      </w:pPr>
      <w:rPr>
        <w:sz w:val="26"/>
        <w:szCs w:val="26"/>
      </w:rPr>
    </w:lvl>
    <w:lvl w:ilvl="1">
      <w:start w:val="1"/>
      <w:numFmt w:val="decimal"/>
      <w:isLgl w:val="false"/>
      <w:suff w:val="tab"/>
      <w:lvlText w:val="%1.%2."/>
      <w:lvlJc w:val="left"/>
      <w:pPr>
        <w:ind w:left="1800" w:hanging="720"/>
        <w:tabs>
          <w:tab w:val="num" w:pos="1800" w:leader="none"/>
        </w:tabs>
      </w:pPr>
      <w:rPr>
        <w:color w:val="000000"/>
      </w:rPr>
    </w:lvl>
    <w:lvl w:ilvl="2">
      <w:start w:val="1"/>
      <w:numFmt w:val="decimal"/>
      <w:isLgl w:val="false"/>
      <w:suff w:val="tab"/>
      <w:lvlText w:val="%1.%2.%3."/>
      <w:lvlJc w:val="left"/>
      <w:pPr>
        <w:ind w:left="2160" w:hanging="720"/>
        <w:tabs>
          <w:tab w:val="num" w:pos="2160" w:leader="none"/>
        </w:tabs>
      </w:pPr>
    </w:lvl>
    <w:lvl w:ilvl="3">
      <w:start w:val="1"/>
      <w:numFmt w:val="decimal"/>
      <w:isLgl w:val="false"/>
      <w:suff w:val="tab"/>
      <w:lvlText w:val="%1.%2.%3.%4."/>
      <w:lvlJc w:val="left"/>
      <w:pPr>
        <w:ind w:left="2880" w:hanging="1080"/>
        <w:tabs>
          <w:tab w:val="num" w:pos="2880" w:leader="none"/>
        </w:tabs>
      </w:pPr>
    </w:lvl>
    <w:lvl w:ilvl="4">
      <w:start w:val="1"/>
      <w:numFmt w:val="decimal"/>
      <w:isLgl w:val="false"/>
      <w:suff w:val="tab"/>
      <w:lvlText w:val="%1.%2.%3.%4.%5."/>
      <w:lvlJc w:val="left"/>
      <w:pPr>
        <w:ind w:left="3240" w:hanging="1080"/>
        <w:tabs>
          <w:tab w:val="num" w:pos="3240" w:leader="none"/>
        </w:tabs>
      </w:pPr>
    </w:lvl>
    <w:lvl w:ilvl="5">
      <w:start w:val="1"/>
      <w:numFmt w:val="decimal"/>
      <w:isLgl w:val="false"/>
      <w:suff w:val="tab"/>
      <w:lvlText w:val="%1.%2.%3.%4.%5.%6."/>
      <w:lvlJc w:val="left"/>
      <w:pPr>
        <w:ind w:left="3960" w:hanging="1440"/>
        <w:tabs>
          <w:tab w:val="num" w:pos="3960" w:leader="none"/>
        </w:tabs>
      </w:pPr>
    </w:lvl>
    <w:lvl w:ilvl="6">
      <w:start w:val="1"/>
      <w:numFmt w:val="decimal"/>
      <w:isLgl w:val="false"/>
      <w:suff w:val="tab"/>
      <w:lvlText w:val="%1.%2.%3.%4.%5.%6.%7."/>
      <w:lvlJc w:val="left"/>
      <w:pPr>
        <w:ind w:left="4320" w:hanging="1440"/>
        <w:tabs>
          <w:tab w:val="num" w:pos="4320" w:leader="none"/>
        </w:tabs>
      </w:pPr>
    </w:lvl>
    <w:lvl w:ilvl="7">
      <w:start w:val="1"/>
      <w:numFmt w:val="decimal"/>
      <w:isLgl w:val="false"/>
      <w:suff w:val="tab"/>
      <w:lvlText w:val="%1.%2.%3.%4.%5.%6.%7.%8."/>
      <w:lvlJc w:val="left"/>
      <w:pPr>
        <w:ind w:left="5040" w:hanging="1800"/>
        <w:tabs>
          <w:tab w:val="num" w:pos="5040" w:leader="none"/>
        </w:tabs>
      </w:pPr>
    </w:lvl>
    <w:lvl w:ilvl="8">
      <w:start w:val="1"/>
      <w:numFmt w:val="decimal"/>
      <w:isLgl w:val="false"/>
      <w:suff w:val="tab"/>
      <w:lvlText w:val="%1.%2.%3.%4.%5.%6.%7.%8.%9."/>
      <w:lvlJc w:val="left"/>
      <w:pPr>
        <w:ind w:left="5400" w:hanging="1800"/>
        <w:tabs>
          <w:tab w:val="num" w:pos="5400" w:leader="none"/>
        </w:tabs>
      </w:pPr>
    </w:lvl>
  </w:abstractNum>
  <w:abstractNum w:abstractNumId="2">
    <w:multiLevelType w:val="hybridMultilevel"/>
    <w:lvl w:ilvl="0">
      <w:start w:val="1"/>
      <w:numFmt w:val="decimal"/>
      <w:isLgl w:val="false"/>
      <w:suff w:val="tab"/>
      <w:lvlText w:val="%1."/>
      <w:lvlJc w:val="left"/>
      <w:pPr>
        <w:ind w:left="1110" w:hanging="390"/>
        <w:tabs>
          <w:tab w:val="num" w:pos="1110" w:leader="none"/>
        </w:tabs>
      </w:pPr>
    </w:lvl>
    <w:lvl w:ilvl="1">
      <w:start w:val="1"/>
      <w:numFmt w:val="decimal"/>
      <w:isLgl w:val="false"/>
      <w:suff w:val="tab"/>
      <w:lvlText w:val="%1.%2."/>
      <w:lvlJc w:val="left"/>
      <w:pPr>
        <w:ind w:left="1800" w:hanging="720"/>
        <w:tabs>
          <w:tab w:val="num" w:pos="1800" w:leader="none"/>
        </w:tabs>
      </w:pPr>
      <w:rPr>
        <w:color w:val="000000"/>
      </w:rPr>
    </w:lvl>
    <w:lvl w:ilvl="2">
      <w:start w:val="1"/>
      <w:numFmt w:val="decimal"/>
      <w:isLgl w:val="false"/>
      <w:suff w:val="tab"/>
      <w:lvlText w:val="%1.%2.%3."/>
      <w:lvlJc w:val="left"/>
      <w:pPr>
        <w:ind w:left="2160" w:hanging="720"/>
        <w:tabs>
          <w:tab w:val="num" w:pos="2160" w:leader="none"/>
        </w:tabs>
      </w:pPr>
    </w:lvl>
    <w:lvl w:ilvl="3">
      <w:start w:val="1"/>
      <w:numFmt w:val="decimal"/>
      <w:isLgl w:val="false"/>
      <w:suff w:val="tab"/>
      <w:lvlText w:val="%1.%2.%3.%4."/>
      <w:lvlJc w:val="left"/>
      <w:pPr>
        <w:ind w:left="2880" w:hanging="1080"/>
        <w:tabs>
          <w:tab w:val="num" w:pos="2880" w:leader="none"/>
        </w:tabs>
      </w:pPr>
    </w:lvl>
    <w:lvl w:ilvl="4">
      <w:start w:val="1"/>
      <w:numFmt w:val="decimal"/>
      <w:isLgl w:val="false"/>
      <w:suff w:val="tab"/>
      <w:lvlText w:val="%1.%2.%3.%4.%5."/>
      <w:lvlJc w:val="left"/>
      <w:pPr>
        <w:ind w:left="3240" w:hanging="1080"/>
        <w:tabs>
          <w:tab w:val="num" w:pos="3240" w:leader="none"/>
        </w:tabs>
      </w:pPr>
    </w:lvl>
    <w:lvl w:ilvl="5">
      <w:start w:val="1"/>
      <w:numFmt w:val="decimal"/>
      <w:isLgl w:val="false"/>
      <w:suff w:val="tab"/>
      <w:lvlText w:val="%1.%2.%3.%4.%5.%6."/>
      <w:lvlJc w:val="left"/>
      <w:pPr>
        <w:ind w:left="3960" w:hanging="1440"/>
        <w:tabs>
          <w:tab w:val="num" w:pos="3960" w:leader="none"/>
        </w:tabs>
      </w:pPr>
    </w:lvl>
    <w:lvl w:ilvl="6">
      <w:start w:val="1"/>
      <w:numFmt w:val="decimal"/>
      <w:isLgl w:val="false"/>
      <w:suff w:val="tab"/>
      <w:lvlText w:val="%1.%2.%3.%4.%5.%6.%7."/>
      <w:lvlJc w:val="left"/>
      <w:pPr>
        <w:ind w:left="4320" w:hanging="1440"/>
        <w:tabs>
          <w:tab w:val="num" w:pos="4320" w:leader="none"/>
        </w:tabs>
      </w:pPr>
    </w:lvl>
    <w:lvl w:ilvl="7">
      <w:start w:val="1"/>
      <w:numFmt w:val="decimal"/>
      <w:isLgl w:val="false"/>
      <w:suff w:val="tab"/>
      <w:lvlText w:val="%1.%2.%3.%4.%5.%6.%7.%8."/>
      <w:lvlJc w:val="left"/>
      <w:pPr>
        <w:ind w:left="5040" w:hanging="1800"/>
        <w:tabs>
          <w:tab w:val="num" w:pos="5040" w:leader="none"/>
        </w:tabs>
      </w:pPr>
    </w:lvl>
    <w:lvl w:ilvl="8">
      <w:start w:val="1"/>
      <w:numFmt w:val="decimal"/>
      <w:isLgl w:val="false"/>
      <w:suff w:val="tab"/>
      <w:lvlText w:val="%1.%2.%3.%4.%5.%6.%7.%8.%9."/>
      <w:lvlJc w:val="left"/>
      <w:pPr>
        <w:ind w:left="5400" w:hanging="1800"/>
        <w:tabs>
          <w:tab w:val="num" w:pos="5400" w:leader="none"/>
        </w:tabs>
      </w:pPr>
    </w:lvl>
  </w:abstractNum>
  <w:abstractNum w:abstractNumId="3">
    <w:multiLevelType w:val="hybridMultilevel"/>
    <w:lvl w:ilvl="0">
      <w:start w:val="1"/>
      <w:numFmt w:val="decimal"/>
      <w:isLgl w:val="false"/>
      <w:suff w:val="tab"/>
      <w:lvlText w:val="%1."/>
      <w:lvlJc w:val="left"/>
      <w:pPr>
        <w:ind w:left="540" w:hanging="540"/>
        <w:tabs>
          <w:tab w:val="num" w:pos="540" w:leader="none"/>
        </w:tabs>
      </w:pPr>
    </w:lvl>
    <w:lvl w:ilvl="1">
      <w:start w:val="1"/>
      <w:numFmt w:val="decimal"/>
      <w:isLgl w:val="false"/>
      <w:suff w:val="tab"/>
      <w:lvlText w:val="%1.%2."/>
      <w:lvlJc w:val="left"/>
      <w:pPr>
        <w:ind w:left="1440" w:hanging="720"/>
        <w:tabs>
          <w:tab w:val="num" w:pos="1440" w:leader="none"/>
        </w:tabs>
      </w:pPr>
    </w:lvl>
    <w:lvl w:ilvl="2">
      <w:start w:val="1"/>
      <w:numFmt w:val="decimal"/>
      <w:isLgl w:val="false"/>
      <w:suff w:val="tab"/>
      <w:lvlText w:val="%1.%2.%3."/>
      <w:lvlJc w:val="left"/>
      <w:pPr>
        <w:ind w:left="2160" w:hanging="720"/>
        <w:tabs>
          <w:tab w:val="num" w:pos="2160" w:leader="none"/>
        </w:tabs>
      </w:pPr>
    </w:lvl>
    <w:lvl w:ilvl="3">
      <w:start w:val="1"/>
      <w:numFmt w:val="decimal"/>
      <w:isLgl w:val="false"/>
      <w:suff w:val="tab"/>
      <w:lvlText w:val="%1.%2.%3.%4."/>
      <w:lvlJc w:val="left"/>
      <w:pPr>
        <w:ind w:left="3240" w:hanging="1080"/>
        <w:tabs>
          <w:tab w:val="num" w:pos="3240" w:leader="none"/>
        </w:tabs>
      </w:pPr>
    </w:lvl>
    <w:lvl w:ilvl="4">
      <w:start w:val="1"/>
      <w:numFmt w:val="decimal"/>
      <w:isLgl w:val="false"/>
      <w:suff w:val="tab"/>
      <w:lvlText w:val="%1.%2.%3.%4.%5."/>
      <w:lvlJc w:val="left"/>
      <w:pPr>
        <w:ind w:left="3960" w:hanging="1080"/>
        <w:tabs>
          <w:tab w:val="num" w:pos="3960" w:leader="none"/>
        </w:tabs>
      </w:pPr>
    </w:lvl>
    <w:lvl w:ilvl="5">
      <w:start w:val="1"/>
      <w:numFmt w:val="decimal"/>
      <w:isLgl w:val="false"/>
      <w:suff w:val="tab"/>
      <w:lvlText w:val="%1.%2.%3.%4.%5.%6."/>
      <w:lvlJc w:val="left"/>
      <w:pPr>
        <w:ind w:left="5040" w:hanging="1440"/>
        <w:tabs>
          <w:tab w:val="num" w:pos="5040" w:leader="none"/>
        </w:tabs>
      </w:pPr>
    </w:lvl>
    <w:lvl w:ilvl="6">
      <w:start w:val="1"/>
      <w:numFmt w:val="decimal"/>
      <w:isLgl w:val="false"/>
      <w:suff w:val="tab"/>
      <w:lvlText w:val="%1.%2.%3.%4.%5.%6.%7."/>
      <w:lvlJc w:val="left"/>
      <w:pPr>
        <w:ind w:left="6120" w:hanging="1800"/>
        <w:tabs>
          <w:tab w:val="num" w:pos="6120" w:leader="none"/>
        </w:tabs>
      </w:pPr>
    </w:lvl>
    <w:lvl w:ilvl="7">
      <w:start w:val="1"/>
      <w:numFmt w:val="decimal"/>
      <w:isLgl w:val="false"/>
      <w:suff w:val="tab"/>
      <w:lvlText w:val="%1.%2.%3.%4.%5.%6.%7.%8."/>
      <w:lvlJc w:val="left"/>
      <w:pPr>
        <w:ind w:left="6840" w:hanging="1800"/>
        <w:tabs>
          <w:tab w:val="num" w:pos="6840" w:leader="none"/>
        </w:tabs>
      </w:pPr>
    </w:lvl>
    <w:lvl w:ilvl="8">
      <w:start w:val="1"/>
      <w:numFmt w:val="decimal"/>
      <w:isLgl w:val="false"/>
      <w:suff w:val="tab"/>
      <w:lvlText w:val="%1.%2.%3.%4.%5.%6.%7.%8.%9."/>
      <w:lvlJc w:val="left"/>
      <w:pPr>
        <w:ind w:left="7920" w:hanging="2160"/>
        <w:tabs>
          <w:tab w:val="num" w:pos="7920" w:leader="none"/>
        </w:tabs>
      </w:pPr>
    </w:lvl>
  </w:abstractNum>
  <w:abstractNum w:abstractNumId="4">
    <w:multiLevelType w:val="hybridMultilevel"/>
    <w:lvl w:ilvl="0">
      <w:start w:val="1"/>
      <w:numFmt w:val="decimal"/>
      <w:isLgl w:val="false"/>
      <w:suff w:val="tab"/>
      <w:lvlText w:val="%1."/>
      <w:lvlJc w:val="left"/>
      <w:pPr>
        <w:ind w:left="1440" w:hanging="1440"/>
        <w:tabs>
          <w:tab w:val="num" w:pos="1440" w:leader="none"/>
        </w:tabs>
      </w:pPr>
    </w:lvl>
    <w:lvl w:ilvl="1">
      <w:start w:val="1"/>
      <w:numFmt w:val="decimal"/>
      <w:isLgl w:val="false"/>
      <w:suff w:val="tab"/>
      <w:lvlText w:val="%1.%2."/>
      <w:lvlJc w:val="left"/>
      <w:pPr>
        <w:ind w:left="2110" w:hanging="1440"/>
        <w:tabs>
          <w:tab w:val="num" w:pos="2110" w:leader="none"/>
        </w:tabs>
      </w:pPr>
    </w:lvl>
    <w:lvl w:ilvl="2">
      <w:start w:val="1"/>
      <w:numFmt w:val="decimal"/>
      <w:isLgl w:val="false"/>
      <w:suff w:val="tab"/>
      <w:lvlText w:val="%1.%2.%3."/>
      <w:lvlJc w:val="left"/>
      <w:pPr>
        <w:ind w:left="2780" w:hanging="1440"/>
        <w:tabs>
          <w:tab w:val="num" w:pos="2780" w:leader="none"/>
        </w:tabs>
      </w:pPr>
    </w:lvl>
    <w:lvl w:ilvl="3">
      <w:start w:val="1"/>
      <w:numFmt w:val="decimal"/>
      <w:isLgl w:val="false"/>
      <w:suff w:val="tab"/>
      <w:lvlText w:val="%1.%2.%3.%4."/>
      <w:lvlJc w:val="left"/>
      <w:pPr>
        <w:ind w:left="3450" w:hanging="1440"/>
        <w:tabs>
          <w:tab w:val="num" w:pos="3450" w:leader="none"/>
        </w:tabs>
      </w:pPr>
    </w:lvl>
    <w:lvl w:ilvl="4">
      <w:start w:val="1"/>
      <w:numFmt w:val="decimal"/>
      <w:isLgl w:val="false"/>
      <w:suff w:val="tab"/>
      <w:lvlText w:val="%1.%2.%3.%4.%5."/>
      <w:lvlJc w:val="left"/>
      <w:pPr>
        <w:ind w:left="4120" w:hanging="1440"/>
        <w:tabs>
          <w:tab w:val="num" w:pos="4120" w:leader="none"/>
        </w:tabs>
      </w:pPr>
    </w:lvl>
    <w:lvl w:ilvl="5">
      <w:start w:val="1"/>
      <w:numFmt w:val="decimal"/>
      <w:isLgl w:val="false"/>
      <w:suff w:val="tab"/>
      <w:lvlText w:val="%1.%2.%3.%4.%5.%6."/>
      <w:lvlJc w:val="left"/>
      <w:pPr>
        <w:ind w:left="4790" w:hanging="1440"/>
        <w:tabs>
          <w:tab w:val="num" w:pos="4790" w:leader="none"/>
        </w:tabs>
      </w:pPr>
    </w:lvl>
    <w:lvl w:ilvl="6">
      <w:start w:val="1"/>
      <w:numFmt w:val="decimal"/>
      <w:isLgl w:val="false"/>
      <w:suff w:val="tab"/>
      <w:lvlText w:val="%1.%2.%3.%4.%5.%6.%7."/>
      <w:lvlJc w:val="left"/>
      <w:pPr>
        <w:ind w:left="5820" w:hanging="1800"/>
        <w:tabs>
          <w:tab w:val="num" w:pos="5820" w:leader="none"/>
        </w:tabs>
      </w:pPr>
    </w:lvl>
    <w:lvl w:ilvl="7">
      <w:start w:val="1"/>
      <w:numFmt w:val="decimal"/>
      <w:isLgl w:val="false"/>
      <w:suff w:val="tab"/>
      <w:lvlText w:val="%1.%2.%3.%4.%5.%6.%7.%8."/>
      <w:lvlJc w:val="left"/>
      <w:pPr>
        <w:ind w:left="6490" w:hanging="1800"/>
        <w:tabs>
          <w:tab w:val="num" w:pos="6490" w:leader="none"/>
        </w:tabs>
      </w:pPr>
    </w:lvl>
    <w:lvl w:ilvl="8">
      <w:start w:val="1"/>
      <w:numFmt w:val="decimal"/>
      <w:isLgl w:val="false"/>
      <w:suff w:val="tab"/>
      <w:lvlText w:val="%1.%2.%3.%4.%5.%6.%7.%8.%9."/>
      <w:lvlJc w:val="left"/>
      <w:pPr>
        <w:ind w:left="7520" w:hanging="2160"/>
        <w:tabs>
          <w:tab w:val="num" w:pos="7520" w:leader="none"/>
        </w:tabs>
      </w:pPr>
    </w:lvl>
  </w:abstractNum>
  <w:abstractNum w:abstractNumId="5">
    <w:multiLevelType w:val="hybridMultilevel"/>
    <w:lvl w:ilvl="0">
      <w:start w:val="1"/>
      <w:numFmt w:val="decimal"/>
      <w:isLgl w:val="false"/>
      <w:suff w:val="tab"/>
      <w:lvlText w:val="%1."/>
      <w:lvlJc w:val="left"/>
      <w:pPr>
        <w:ind w:left="360" w:hanging="360"/>
        <w:tabs>
          <w:tab w:val="num" w:pos="360" w:leader="none"/>
        </w:tabs>
      </w:pPr>
    </w:lvl>
    <w:lvl w:ilvl="1">
      <w:start w:val="1"/>
      <w:numFmt w:val="decimal"/>
      <w:isLgl w:val="false"/>
      <w:suff w:val="tab"/>
      <w:lvlText w:val="%1.%2."/>
      <w:lvlJc w:val="left"/>
      <w:pPr>
        <w:ind w:left="420" w:hanging="420"/>
        <w:tabs>
          <w:tab w:val="num" w:pos="42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720" w:hanging="720"/>
        <w:tabs>
          <w:tab w:val="num" w:pos="72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440" w:hanging="1440"/>
        <w:tabs>
          <w:tab w:val="num" w:pos="144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800" w:hanging="1800"/>
        <w:tabs>
          <w:tab w:val="num" w:pos="1800" w:leader="none"/>
        </w:tabs>
      </w:pPr>
    </w:lvl>
  </w:abstractNum>
  <w:abstractNum w:abstractNumId="6">
    <w:multiLevelType w:val="hybridMultilevel"/>
    <w:lvl w:ilvl="0">
      <w:start w:val="3"/>
      <w:numFmt w:val="decimal"/>
      <w:isLgl w:val="false"/>
      <w:suff w:val="tab"/>
      <w:lvlText w:val="%1."/>
      <w:lvlJc w:val="left"/>
      <w:pPr>
        <w:ind w:left="360" w:hanging="360"/>
        <w:tabs>
          <w:tab w:val="num" w:pos="360" w:leader="none"/>
        </w:tabs>
      </w:pPr>
    </w:lvl>
    <w:lvl w:ilvl="1">
      <w:start w:val="1"/>
      <w:numFmt w:val="decimal"/>
      <w:isLgl w:val="false"/>
      <w:suff w:val="tab"/>
      <w:lvlText w:val="%1.%2."/>
      <w:lvlJc w:val="left"/>
      <w:pPr>
        <w:ind w:left="420" w:hanging="420"/>
        <w:tabs>
          <w:tab w:val="num" w:pos="42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720" w:hanging="720"/>
        <w:tabs>
          <w:tab w:val="num" w:pos="72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440" w:hanging="1440"/>
        <w:tabs>
          <w:tab w:val="num" w:pos="144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800" w:hanging="1800"/>
        <w:tabs>
          <w:tab w:val="num" w:pos="1800" w:leader="none"/>
        </w:tabs>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val="true"/>
  <w:trackRevisions w:val="false"/>
  <w:documentProtection/>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1">
    <w:name w:val="Heading 1"/>
    <w:basedOn w:val="899"/>
    <w:next w:val="899"/>
    <w:link w:val="722"/>
    <w:uiPriority w:val="9"/>
    <w:qFormat/>
    <w:pPr>
      <w:keepLines/>
      <w:keepNext/>
      <w:spacing w:before="480" w:after="200"/>
      <w:outlineLvl w:val="0"/>
    </w:pPr>
    <w:rPr>
      <w:rFonts w:ascii="Arial" w:hAnsi="Arial" w:eastAsia="Arial" w:cs="Arial"/>
      <w:sz w:val="40"/>
      <w:szCs w:val="40"/>
    </w:rPr>
  </w:style>
  <w:style w:type="character" w:styleId="722">
    <w:name w:val="Heading 1 Char"/>
    <w:link w:val="721"/>
    <w:uiPriority w:val="9"/>
    <w:rPr>
      <w:rFonts w:ascii="Arial" w:hAnsi="Arial" w:eastAsia="Arial" w:cs="Arial"/>
      <w:sz w:val="40"/>
      <w:szCs w:val="40"/>
    </w:rPr>
  </w:style>
  <w:style w:type="paragraph" w:styleId="723">
    <w:name w:val="Heading 2"/>
    <w:basedOn w:val="899"/>
    <w:next w:val="899"/>
    <w:link w:val="724"/>
    <w:uiPriority w:val="9"/>
    <w:unhideWhenUsed/>
    <w:qFormat/>
    <w:pPr>
      <w:keepLines/>
      <w:keepNext/>
      <w:spacing w:before="360" w:after="200"/>
      <w:outlineLvl w:val="1"/>
    </w:pPr>
    <w:rPr>
      <w:rFonts w:ascii="Arial" w:hAnsi="Arial" w:eastAsia="Arial" w:cs="Arial"/>
      <w:sz w:val="34"/>
    </w:rPr>
  </w:style>
  <w:style w:type="character" w:styleId="724">
    <w:name w:val="Heading 2 Char"/>
    <w:link w:val="723"/>
    <w:uiPriority w:val="9"/>
    <w:rPr>
      <w:rFonts w:ascii="Arial" w:hAnsi="Arial" w:eastAsia="Arial" w:cs="Arial"/>
      <w:sz w:val="34"/>
    </w:rPr>
  </w:style>
  <w:style w:type="paragraph" w:styleId="725">
    <w:name w:val="Heading 3"/>
    <w:basedOn w:val="899"/>
    <w:next w:val="899"/>
    <w:link w:val="726"/>
    <w:uiPriority w:val="9"/>
    <w:unhideWhenUsed/>
    <w:qFormat/>
    <w:pPr>
      <w:keepLines/>
      <w:keepNext/>
      <w:spacing w:before="320" w:after="200"/>
      <w:outlineLvl w:val="2"/>
    </w:pPr>
    <w:rPr>
      <w:rFonts w:ascii="Arial" w:hAnsi="Arial" w:eastAsia="Arial" w:cs="Arial"/>
      <w:sz w:val="30"/>
      <w:szCs w:val="30"/>
    </w:rPr>
  </w:style>
  <w:style w:type="character" w:styleId="726">
    <w:name w:val="Heading 3 Char"/>
    <w:link w:val="725"/>
    <w:uiPriority w:val="9"/>
    <w:rPr>
      <w:rFonts w:ascii="Arial" w:hAnsi="Arial" w:eastAsia="Arial" w:cs="Arial"/>
      <w:sz w:val="30"/>
      <w:szCs w:val="30"/>
    </w:rPr>
  </w:style>
  <w:style w:type="paragraph" w:styleId="727">
    <w:name w:val="Heading 4"/>
    <w:basedOn w:val="899"/>
    <w:next w:val="899"/>
    <w:link w:val="728"/>
    <w:uiPriority w:val="9"/>
    <w:unhideWhenUsed/>
    <w:qFormat/>
    <w:pPr>
      <w:keepLines/>
      <w:keepNext/>
      <w:spacing w:before="320" w:after="200"/>
      <w:outlineLvl w:val="3"/>
    </w:pPr>
    <w:rPr>
      <w:rFonts w:ascii="Arial" w:hAnsi="Arial" w:eastAsia="Arial" w:cs="Arial"/>
      <w:b/>
      <w:bCs/>
      <w:sz w:val="26"/>
      <w:szCs w:val="26"/>
    </w:rPr>
  </w:style>
  <w:style w:type="character" w:styleId="728">
    <w:name w:val="Heading 4 Char"/>
    <w:link w:val="727"/>
    <w:uiPriority w:val="9"/>
    <w:rPr>
      <w:rFonts w:ascii="Arial" w:hAnsi="Arial" w:eastAsia="Arial" w:cs="Arial"/>
      <w:b/>
      <w:bCs/>
      <w:sz w:val="26"/>
      <w:szCs w:val="26"/>
    </w:rPr>
  </w:style>
  <w:style w:type="paragraph" w:styleId="729">
    <w:name w:val="Heading 5"/>
    <w:basedOn w:val="899"/>
    <w:next w:val="899"/>
    <w:link w:val="730"/>
    <w:uiPriority w:val="9"/>
    <w:unhideWhenUsed/>
    <w:qFormat/>
    <w:pPr>
      <w:keepLines/>
      <w:keepNext/>
      <w:spacing w:before="320" w:after="200"/>
      <w:outlineLvl w:val="4"/>
    </w:pPr>
    <w:rPr>
      <w:rFonts w:ascii="Arial" w:hAnsi="Arial" w:eastAsia="Arial" w:cs="Arial"/>
      <w:b/>
      <w:bCs/>
      <w:sz w:val="24"/>
      <w:szCs w:val="24"/>
    </w:rPr>
  </w:style>
  <w:style w:type="character" w:styleId="730">
    <w:name w:val="Heading 5 Char"/>
    <w:link w:val="729"/>
    <w:uiPriority w:val="9"/>
    <w:rPr>
      <w:rFonts w:ascii="Arial" w:hAnsi="Arial" w:eastAsia="Arial" w:cs="Arial"/>
      <w:b/>
      <w:bCs/>
      <w:sz w:val="24"/>
      <w:szCs w:val="24"/>
    </w:rPr>
  </w:style>
  <w:style w:type="paragraph" w:styleId="731">
    <w:name w:val="Heading 6"/>
    <w:basedOn w:val="899"/>
    <w:next w:val="899"/>
    <w:link w:val="732"/>
    <w:uiPriority w:val="9"/>
    <w:unhideWhenUsed/>
    <w:qFormat/>
    <w:pPr>
      <w:keepLines/>
      <w:keepNext/>
      <w:spacing w:before="320" w:after="200"/>
      <w:outlineLvl w:val="5"/>
    </w:pPr>
    <w:rPr>
      <w:rFonts w:ascii="Arial" w:hAnsi="Arial" w:eastAsia="Arial" w:cs="Arial"/>
      <w:b/>
      <w:bCs/>
      <w:sz w:val="22"/>
      <w:szCs w:val="22"/>
    </w:rPr>
  </w:style>
  <w:style w:type="character" w:styleId="732">
    <w:name w:val="Heading 6 Char"/>
    <w:link w:val="731"/>
    <w:uiPriority w:val="9"/>
    <w:rPr>
      <w:rFonts w:ascii="Arial" w:hAnsi="Arial" w:eastAsia="Arial" w:cs="Arial"/>
      <w:b/>
      <w:bCs/>
      <w:sz w:val="22"/>
      <w:szCs w:val="22"/>
    </w:rPr>
  </w:style>
  <w:style w:type="paragraph" w:styleId="733">
    <w:name w:val="Heading 7"/>
    <w:basedOn w:val="899"/>
    <w:next w:val="899"/>
    <w:link w:val="734"/>
    <w:uiPriority w:val="9"/>
    <w:unhideWhenUsed/>
    <w:qFormat/>
    <w:pPr>
      <w:keepLines/>
      <w:keepNext/>
      <w:spacing w:before="320" w:after="200"/>
      <w:outlineLvl w:val="6"/>
    </w:pPr>
    <w:rPr>
      <w:rFonts w:ascii="Arial" w:hAnsi="Arial" w:eastAsia="Arial" w:cs="Arial"/>
      <w:b/>
      <w:bCs/>
      <w:i/>
      <w:iCs/>
      <w:sz w:val="22"/>
      <w:szCs w:val="22"/>
    </w:rPr>
  </w:style>
  <w:style w:type="character" w:styleId="734">
    <w:name w:val="Heading 7 Char"/>
    <w:link w:val="733"/>
    <w:uiPriority w:val="9"/>
    <w:rPr>
      <w:rFonts w:ascii="Arial" w:hAnsi="Arial" w:eastAsia="Arial" w:cs="Arial"/>
      <w:b/>
      <w:bCs/>
      <w:i/>
      <w:iCs/>
      <w:sz w:val="22"/>
      <w:szCs w:val="22"/>
    </w:rPr>
  </w:style>
  <w:style w:type="paragraph" w:styleId="735">
    <w:name w:val="Heading 8"/>
    <w:basedOn w:val="899"/>
    <w:next w:val="899"/>
    <w:link w:val="736"/>
    <w:uiPriority w:val="9"/>
    <w:unhideWhenUsed/>
    <w:qFormat/>
    <w:pPr>
      <w:keepLines/>
      <w:keepNext/>
      <w:spacing w:before="320" w:after="200"/>
      <w:outlineLvl w:val="7"/>
    </w:pPr>
    <w:rPr>
      <w:rFonts w:ascii="Arial" w:hAnsi="Arial" w:eastAsia="Arial" w:cs="Arial"/>
      <w:i/>
      <w:iCs/>
      <w:sz w:val="22"/>
      <w:szCs w:val="22"/>
    </w:rPr>
  </w:style>
  <w:style w:type="character" w:styleId="736">
    <w:name w:val="Heading 8 Char"/>
    <w:link w:val="735"/>
    <w:uiPriority w:val="9"/>
    <w:rPr>
      <w:rFonts w:ascii="Arial" w:hAnsi="Arial" w:eastAsia="Arial" w:cs="Arial"/>
      <w:i/>
      <w:iCs/>
      <w:sz w:val="22"/>
      <w:szCs w:val="22"/>
    </w:rPr>
  </w:style>
  <w:style w:type="paragraph" w:styleId="737">
    <w:name w:val="Heading 9"/>
    <w:basedOn w:val="899"/>
    <w:next w:val="899"/>
    <w:link w:val="738"/>
    <w:uiPriority w:val="9"/>
    <w:unhideWhenUsed/>
    <w:qFormat/>
    <w:pPr>
      <w:keepLines/>
      <w:keepNext/>
      <w:spacing w:before="320" w:after="200"/>
      <w:outlineLvl w:val="8"/>
    </w:pPr>
    <w:rPr>
      <w:rFonts w:ascii="Arial" w:hAnsi="Arial" w:eastAsia="Arial" w:cs="Arial"/>
      <w:i/>
      <w:iCs/>
      <w:sz w:val="21"/>
      <w:szCs w:val="21"/>
    </w:rPr>
  </w:style>
  <w:style w:type="character" w:styleId="738">
    <w:name w:val="Heading 9 Char"/>
    <w:link w:val="737"/>
    <w:uiPriority w:val="9"/>
    <w:rPr>
      <w:rFonts w:ascii="Arial" w:hAnsi="Arial" w:eastAsia="Arial" w:cs="Arial"/>
      <w:i/>
      <w:iCs/>
      <w:sz w:val="21"/>
      <w:szCs w:val="21"/>
    </w:rPr>
  </w:style>
  <w:style w:type="paragraph" w:styleId="739">
    <w:name w:val="List Paragraph"/>
    <w:basedOn w:val="899"/>
    <w:uiPriority w:val="34"/>
    <w:qFormat/>
    <w:pPr>
      <w:contextualSpacing/>
      <w:ind w:left="720"/>
    </w:pPr>
  </w:style>
  <w:style w:type="paragraph" w:styleId="740">
    <w:name w:val="No Spacing"/>
    <w:uiPriority w:val="1"/>
    <w:qFormat/>
    <w:pPr>
      <w:spacing w:before="0" w:after="0" w:line="240" w:lineRule="auto"/>
    </w:pPr>
  </w:style>
  <w:style w:type="paragraph" w:styleId="741">
    <w:name w:val="Title"/>
    <w:basedOn w:val="899"/>
    <w:next w:val="899"/>
    <w:link w:val="742"/>
    <w:uiPriority w:val="10"/>
    <w:qFormat/>
    <w:pPr>
      <w:contextualSpacing/>
      <w:spacing w:before="300" w:after="200"/>
    </w:pPr>
    <w:rPr>
      <w:sz w:val="48"/>
      <w:szCs w:val="48"/>
    </w:rPr>
  </w:style>
  <w:style w:type="character" w:styleId="742">
    <w:name w:val="Title Char"/>
    <w:link w:val="741"/>
    <w:uiPriority w:val="10"/>
    <w:rPr>
      <w:sz w:val="48"/>
      <w:szCs w:val="48"/>
    </w:rPr>
  </w:style>
  <w:style w:type="paragraph" w:styleId="743">
    <w:name w:val="Subtitle"/>
    <w:basedOn w:val="899"/>
    <w:next w:val="899"/>
    <w:link w:val="744"/>
    <w:uiPriority w:val="11"/>
    <w:qFormat/>
    <w:pPr>
      <w:spacing w:before="200" w:after="200"/>
    </w:pPr>
    <w:rPr>
      <w:sz w:val="24"/>
      <w:szCs w:val="24"/>
    </w:rPr>
  </w:style>
  <w:style w:type="character" w:styleId="744">
    <w:name w:val="Subtitle Char"/>
    <w:link w:val="743"/>
    <w:uiPriority w:val="11"/>
    <w:rPr>
      <w:sz w:val="24"/>
      <w:szCs w:val="24"/>
    </w:rPr>
  </w:style>
  <w:style w:type="paragraph" w:styleId="745">
    <w:name w:val="Quote"/>
    <w:basedOn w:val="899"/>
    <w:next w:val="899"/>
    <w:link w:val="746"/>
    <w:uiPriority w:val="29"/>
    <w:qFormat/>
    <w:pPr>
      <w:ind w:left="720" w:right="720"/>
    </w:pPr>
    <w:rPr>
      <w:i/>
    </w:rPr>
  </w:style>
  <w:style w:type="character" w:styleId="746">
    <w:name w:val="Quote Char"/>
    <w:link w:val="745"/>
    <w:uiPriority w:val="29"/>
    <w:rPr>
      <w:i/>
    </w:rPr>
  </w:style>
  <w:style w:type="paragraph" w:styleId="747">
    <w:name w:val="Intense Quote"/>
    <w:basedOn w:val="899"/>
    <w:next w:val="899"/>
    <w:link w:val="74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8">
    <w:name w:val="Intense Quote Char"/>
    <w:link w:val="747"/>
    <w:uiPriority w:val="30"/>
    <w:rPr>
      <w:i/>
    </w:rPr>
  </w:style>
  <w:style w:type="paragraph" w:styleId="749">
    <w:name w:val="Header"/>
    <w:basedOn w:val="899"/>
    <w:link w:val="750"/>
    <w:uiPriority w:val="99"/>
    <w:unhideWhenUsed/>
    <w:pPr>
      <w:spacing w:after="0" w:line="240" w:lineRule="auto"/>
      <w:tabs>
        <w:tab w:val="center" w:pos="7143" w:leader="none"/>
        <w:tab w:val="right" w:pos="14287" w:leader="none"/>
      </w:tabs>
    </w:pPr>
  </w:style>
  <w:style w:type="character" w:styleId="750">
    <w:name w:val="Header Char"/>
    <w:link w:val="749"/>
    <w:uiPriority w:val="99"/>
  </w:style>
  <w:style w:type="paragraph" w:styleId="751">
    <w:name w:val="Footer"/>
    <w:basedOn w:val="899"/>
    <w:link w:val="754"/>
    <w:uiPriority w:val="99"/>
    <w:unhideWhenUsed/>
    <w:pPr>
      <w:spacing w:after="0" w:line="240" w:lineRule="auto"/>
      <w:tabs>
        <w:tab w:val="center" w:pos="7143" w:leader="none"/>
        <w:tab w:val="right" w:pos="14287" w:leader="none"/>
      </w:tabs>
    </w:pPr>
  </w:style>
  <w:style w:type="character" w:styleId="752">
    <w:name w:val="Footer Char"/>
    <w:link w:val="751"/>
    <w:uiPriority w:val="99"/>
  </w:style>
  <w:style w:type="paragraph" w:styleId="753">
    <w:name w:val="Caption"/>
    <w:basedOn w:val="899"/>
    <w:next w:val="899"/>
    <w:uiPriority w:val="35"/>
    <w:semiHidden/>
    <w:unhideWhenUsed/>
    <w:qFormat/>
    <w:pPr>
      <w:spacing w:line="276" w:lineRule="auto"/>
    </w:pPr>
    <w:rPr>
      <w:b/>
      <w:bCs/>
      <w:color w:val="4f81bd" w:themeColor="accent1"/>
      <w:sz w:val="18"/>
      <w:szCs w:val="18"/>
    </w:rPr>
  </w:style>
  <w:style w:type="character" w:styleId="754">
    <w:name w:val="Caption Char"/>
    <w:basedOn w:val="753"/>
    <w:link w:val="751"/>
    <w:uiPriority w:val="99"/>
  </w:style>
  <w:style w:type="table" w:styleId="755">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56">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7">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8">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9">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0">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1">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2">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3">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4">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5">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6">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7">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68">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69">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0">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1">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2">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3">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4">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5">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6">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7">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8">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9">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0">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1">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3">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4">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5">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6">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7">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88">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89">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0">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1">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92">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93">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94">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95">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96">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97">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98">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99">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0">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1">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2">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3">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4">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5">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6">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07">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08">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09">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0">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1">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2">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3">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4">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5">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6">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7">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18">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19">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0">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1">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2">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3">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4">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5">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6">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7">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28">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29">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0">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1">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2">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3">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4">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35">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36">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37">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38">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39">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0">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1">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2">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7">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48">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49">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0">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1">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2">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3">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4">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55">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56">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57">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58">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59">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0">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1">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2">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3">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4">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5">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6">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7">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8">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9">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0">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1">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2">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3">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4">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5">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6">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7">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78">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79">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0">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1">
    <w:name w:val="Hyperlink"/>
    <w:uiPriority w:val="99"/>
    <w:unhideWhenUsed/>
    <w:rPr>
      <w:color w:val="0000ff" w:themeColor="hyperlink"/>
      <w:u w:val="single"/>
    </w:rPr>
  </w:style>
  <w:style w:type="paragraph" w:styleId="882">
    <w:name w:val="footnote text"/>
    <w:basedOn w:val="899"/>
    <w:link w:val="883"/>
    <w:uiPriority w:val="99"/>
    <w:semiHidden/>
    <w:unhideWhenUsed/>
    <w:pPr>
      <w:spacing w:after="40" w:line="240" w:lineRule="auto"/>
    </w:pPr>
    <w:rPr>
      <w:sz w:val="18"/>
    </w:rPr>
  </w:style>
  <w:style w:type="character" w:styleId="883">
    <w:name w:val="Footnote Text Char"/>
    <w:link w:val="882"/>
    <w:uiPriority w:val="99"/>
    <w:rPr>
      <w:sz w:val="18"/>
    </w:rPr>
  </w:style>
  <w:style w:type="character" w:styleId="884">
    <w:name w:val="footnote reference"/>
    <w:uiPriority w:val="99"/>
    <w:unhideWhenUsed/>
    <w:rPr>
      <w:vertAlign w:val="superscript"/>
    </w:rPr>
  </w:style>
  <w:style w:type="paragraph" w:styleId="885">
    <w:name w:val="endnote text"/>
    <w:basedOn w:val="899"/>
    <w:link w:val="886"/>
    <w:uiPriority w:val="99"/>
    <w:semiHidden/>
    <w:unhideWhenUsed/>
    <w:pPr>
      <w:spacing w:after="0" w:line="240" w:lineRule="auto"/>
    </w:pPr>
    <w:rPr>
      <w:sz w:val="20"/>
    </w:rPr>
  </w:style>
  <w:style w:type="character" w:styleId="886">
    <w:name w:val="Endnote Text Char"/>
    <w:link w:val="885"/>
    <w:uiPriority w:val="99"/>
    <w:rPr>
      <w:sz w:val="20"/>
    </w:rPr>
  </w:style>
  <w:style w:type="character" w:styleId="887">
    <w:name w:val="endnote reference"/>
    <w:uiPriority w:val="99"/>
    <w:semiHidden/>
    <w:unhideWhenUsed/>
    <w:rPr>
      <w:vertAlign w:val="superscript"/>
    </w:rPr>
  </w:style>
  <w:style w:type="paragraph" w:styleId="888">
    <w:name w:val="toc 1"/>
    <w:basedOn w:val="899"/>
    <w:next w:val="899"/>
    <w:uiPriority w:val="39"/>
    <w:unhideWhenUsed/>
    <w:pPr>
      <w:ind w:left="0" w:right="0" w:firstLine="0"/>
      <w:spacing w:after="57"/>
    </w:pPr>
  </w:style>
  <w:style w:type="paragraph" w:styleId="889">
    <w:name w:val="toc 2"/>
    <w:basedOn w:val="899"/>
    <w:next w:val="899"/>
    <w:uiPriority w:val="39"/>
    <w:unhideWhenUsed/>
    <w:pPr>
      <w:ind w:left="283" w:right="0" w:firstLine="0"/>
      <w:spacing w:after="57"/>
    </w:pPr>
  </w:style>
  <w:style w:type="paragraph" w:styleId="890">
    <w:name w:val="toc 3"/>
    <w:basedOn w:val="899"/>
    <w:next w:val="899"/>
    <w:uiPriority w:val="39"/>
    <w:unhideWhenUsed/>
    <w:pPr>
      <w:ind w:left="567" w:right="0" w:firstLine="0"/>
      <w:spacing w:after="57"/>
    </w:pPr>
  </w:style>
  <w:style w:type="paragraph" w:styleId="891">
    <w:name w:val="toc 4"/>
    <w:basedOn w:val="899"/>
    <w:next w:val="899"/>
    <w:uiPriority w:val="39"/>
    <w:unhideWhenUsed/>
    <w:pPr>
      <w:ind w:left="850" w:right="0" w:firstLine="0"/>
      <w:spacing w:after="57"/>
    </w:pPr>
  </w:style>
  <w:style w:type="paragraph" w:styleId="892">
    <w:name w:val="toc 5"/>
    <w:basedOn w:val="899"/>
    <w:next w:val="899"/>
    <w:uiPriority w:val="39"/>
    <w:unhideWhenUsed/>
    <w:pPr>
      <w:ind w:left="1134" w:right="0" w:firstLine="0"/>
      <w:spacing w:after="57"/>
    </w:pPr>
  </w:style>
  <w:style w:type="paragraph" w:styleId="893">
    <w:name w:val="toc 6"/>
    <w:basedOn w:val="899"/>
    <w:next w:val="899"/>
    <w:uiPriority w:val="39"/>
    <w:unhideWhenUsed/>
    <w:pPr>
      <w:ind w:left="1417" w:right="0" w:firstLine="0"/>
      <w:spacing w:after="57"/>
    </w:pPr>
  </w:style>
  <w:style w:type="paragraph" w:styleId="894">
    <w:name w:val="toc 7"/>
    <w:basedOn w:val="899"/>
    <w:next w:val="899"/>
    <w:uiPriority w:val="39"/>
    <w:unhideWhenUsed/>
    <w:pPr>
      <w:ind w:left="1701" w:right="0" w:firstLine="0"/>
      <w:spacing w:after="57"/>
    </w:pPr>
  </w:style>
  <w:style w:type="paragraph" w:styleId="895">
    <w:name w:val="toc 8"/>
    <w:basedOn w:val="899"/>
    <w:next w:val="899"/>
    <w:uiPriority w:val="39"/>
    <w:unhideWhenUsed/>
    <w:pPr>
      <w:ind w:left="1984" w:right="0" w:firstLine="0"/>
      <w:spacing w:after="57"/>
    </w:pPr>
  </w:style>
  <w:style w:type="paragraph" w:styleId="896">
    <w:name w:val="toc 9"/>
    <w:basedOn w:val="899"/>
    <w:next w:val="899"/>
    <w:uiPriority w:val="39"/>
    <w:unhideWhenUsed/>
    <w:pPr>
      <w:ind w:left="2268" w:right="0" w:firstLine="0"/>
      <w:spacing w:after="57"/>
    </w:pPr>
  </w:style>
  <w:style w:type="paragraph" w:styleId="897">
    <w:name w:val="TOC Heading"/>
    <w:uiPriority w:val="39"/>
    <w:unhideWhenUsed/>
  </w:style>
  <w:style w:type="paragraph" w:styleId="898">
    <w:name w:val="table of figures"/>
    <w:basedOn w:val="899"/>
    <w:next w:val="899"/>
    <w:uiPriority w:val="99"/>
    <w:unhideWhenUsed/>
    <w:pPr>
      <w:spacing w:after="0" w:afterAutospacing="0"/>
    </w:pPr>
  </w:style>
  <w:style w:type="paragraph" w:styleId="899" w:default="1">
    <w:name w:val="Normal"/>
    <w:next w:val="899"/>
    <w:link w:val="899"/>
    <w:qFormat/>
    <w:rPr>
      <w:bCs/>
      <w:color w:val="000000"/>
      <w:sz w:val="28"/>
      <w:lang w:val="ru-RU" w:eastAsia="ru-RU" w:bidi="ar-SA"/>
    </w:rPr>
  </w:style>
  <w:style w:type="paragraph" w:styleId="900">
    <w:name w:val="Заголовок 1"/>
    <w:basedOn w:val="899"/>
    <w:next w:val="899"/>
    <w:link w:val="899"/>
    <w:qFormat/>
    <w:pPr>
      <w:jc w:val="both"/>
      <w:keepNext/>
      <w:outlineLvl w:val="0"/>
    </w:pPr>
    <w:rPr>
      <w:b/>
      <w:bCs w:val="0"/>
    </w:rPr>
  </w:style>
  <w:style w:type="paragraph" w:styleId="901">
    <w:name w:val="Заголовок 3"/>
    <w:basedOn w:val="899"/>
    <w:next w:val="899"/>
    <w:link w:val="899"/>
    <w:qFormat/>
    <w:pPr>
      <w:keepNext/>
      <w:outlineLvl w:val="2"/>
    </w:pPr>
    <w:rPr>
      <w:b/>
      <w:bCs w:val="0"/>
      <w:sz w:val="26"/>
    </w:rPr>
  </w:style>
  <w:style w:type="character" w:styleId="902">
    <w:name w:val="Основной шрифт абзаца"/>
    <w:next w:val="902"/>
    <w:link w:val="899"/>
    <w:semiHidden/>
  </w:style>
  <w:style w:type="table" w:styleId="903">
    <w:name w:val="Обычная таблица"/>
    <w:next w:val="903"/>
    <w:link w:val="899"/>
    <w:semiHidden/>
    <w:tblPr/>
  </w:style>
  <w:style w:type="numbering" w:styleId="904">
    <w:name w:val="Нет списка"/>
    <w:next w:val="904"/>
    <w:link w:val="899"/>
    <w:semiHidden/>
  </w:style>
  <w:style w:type="paragraph" w:styleId="905">
    <w:name w:val="Верхний колонтитул"/>
    <w:basedOn w:val="899"/>
    <w:next w:val="905"/>
    <w:link w:val="916"/>
    <w:uiPriority w:val="99"/>
    <w:pPr>
      <w:tabs>
        <w:tab w:val="center" w:pos="4677" w:leader="none"/>
        <w:tab w:val="right" w:pos="9355" w:leader="none"/>
      </w:tabs>
    </w:pPr>
    <w:rPr>
      <w:rFonts w:ascii="Times" w:hAnsi="Times" w:eastAsia="Times"/>
      <w:bCs w:val="0"/>
      <w:color w:val="000000"/>
      <w:sz w:val="24"/>
      <w:lang w:val="en-US"/>
    </w:rPr>
  </w:style>
  <w:style w:type="character" w:styleId="906">
    <w:name w:val="Номер страницы"/>
    <w:basedOn w:val="902"/>
    <w:next w:val="906"/>
    <w:link w:val="899"/>
  </w:style>
  <w:style w:type="paragraph" w:styleId="907">
    <w:name w:val="Основной текст с отступом"/>
    <w:basedOn w:val="899"/>
    <w:next w:val="907"/>
    <w:link w:val="899"/>
    <w:pPr>
      <w:ind w:firstLine="720"/>
      <w:jc w:val="both"/>
    </w:pPr>
  </w:style>
  <w:style w:type="paragraph" w:styleId="908">
    <w:name w:val="Основной текст с отступом 3"/>
    <w:basedOn w:val="899"/>
    <w:next w:val="908"/>
    <w:link w:val="899"/>
    <w:pPr>
      <w:ind w:firstLine="851"/>
      <w:jc w:val="both"/>
      <w:spacing w:line="360" w:lineRule="auto"/>
    </w:pPr>
    <w:rPr>
      <w:bCs w:val="0"/>
      <w:color w:val="000000"/>
      <w:sz w:val="26"/>
    </w:rPr>
  </w:style>
  <w:style w:type="paragraph" w:styleId="909">
    <w:name w:val="Основной текст"/>
    <w:basedOn w:val="899"/>
    <w:next w:val="909"/>
    <w:link w:val="899"/>
    <w:pPr>
      <w:jc w:val="both"/>
    </w:pPr>
    <w:rPr>
      <w:sz w:val="24"/>
    </w:rPr>
  </w:style>
  <w:style w:type="paragraph" w:styleId="910">
    <w:name w:val="Основной текст 2"/>
    <w:basedOn w:val="899"/>
    <w:next w:val="910"/>
    <w:link w:val="899"/>
    <w:pPr>
      <w:jc w:val="both"/>
    </w:pPr>
    <w:rPr>
      <w:b/>
      <w:bCs w:val="0"/>
      <w:sz w:val="24"/>
    </w:rPr>
  </w:style>
  <w:style w:type="paragraph" w:styleId="911">
    <w:name w:val="Основной текст с отступом 2"/>
    <w:basedOn w:val="899"/>
    <w:next w:val="911"/>
    <w:link w:val="899"/>
    <w:pPr>
      <w:ind w:firstLine="709"/>
      <w:jc w:val="both"/>
    </w:pPr>
  </w:style>
  <w:style w:type="paragraph" w:styleId="912">
    <w:name w:val="Основной текст 3"/>
    <w:basedOn w:val="899"/>
    <w:next w:val="912"/>
    <w:link w:val="899"/>
    <w:rPr>
      <w:sz w:val="24"/>
    </w:rPr>
  </w:style>
  <w:style w:type="paragraph" w:styleId="913">
    <w:name w:val="Текст выноски"/>
    <w:basedOn w:val="899"/>
    <w:next w:val="913"/>
    <w:link w:val="899"/>
    <w:semiHidden/>
    <w:rPr>
      <w:rFonts w:ascii="Tahoma" w:hAnsi="Tahoma" w:cs="Tahoma"/>
      <w:sz w:val="16"/>
      <w:szCs w:val="16"/>
    </w:rPr>
  </w:style>
  <w:style w:type="paragraph" w:styleId="914">
    <w:name w:val="Цитата"/>
    <w:basedOn w:val="899"/>
    <w:next w:val="914"/>
    <w:link w:val="899"/>
    <w:pPr>
      <w:ind w:left="-142" w:right="-2" w:firstLine="142"/>
      <w:jc w:val="both"/>
    </w:pPr>
    <w:rPr>
      <w:bCs w:val="0"/>
      <w:color w:val="000000"/>
      <w:sz w:val="26"/>
    </w:rPr>
  </w:style>
  <w:style w:type="paragraph" w:styleId="915">
    <w:name w:val="Нижний колонтитул"/>
    <w:basedOn w:val="899"/>
    <w:next w:val="915"/>
    <w:link w:val="917"/>
    <w:pPr>
      <w:tabs>
        <w:tab w:val="center" w:pos="4677" w:leader="none"/>
        <w:tab w:val="right" w:pos="9355" w:leader="none"/>
      </w:tabs>
    </w:pPr>
  </w:style>
  <w:style w:type="character" w:styleId="916">
    <w:name w:val="Верхний колонтитул Знак"/>
    <w:next w:val="916"/>
    <w:link w:val="905"/>
    <w:uiPriority w:val="99"/>
    <w:rPr>
      <w:rFonts w:ascii="Times" w:hAnsi="Times" w:eastAsia="Times"/>
      <w:sz w:val="24"/>
      <w:lang w:val="en-US"/>
    </w:rPr>
  </w:style>
  <w:style w:type="character" w:styleId="917">
    <w:name w:val="Нижний колонтитул Знак"/>
    <w:next w:val="917"/>
    <w:link w:val="915"/>
    <w:rPr>
      <w:bCs/>
      <w:color w:val="000000"/>
      <w:sz w:val="28"/>
    </w:rPr>
  </w:style>
  <w:style w:type="paragraph" w:styleId="918">
    <w:name w:val="Текст сноски"/>
    <w:basedOn w:val="899"/>
    <w:next w:val="918"/>
    <w:link w:val="919"/>
    <w:rPr>
      <w:sz w:val="20"/>
    </w:rPr>
  </w:style>
  <w:style w:type="character" w:styleId="919">
    <w:name w:val="Текст сноски Знак"/>
    <w:next w:val="919"/>
    <w:link w:val="918"/>
    <w:rPr>
      <w:bCs/>
      <w:color w:val="000000"/>
    </w:rPr>
  </w:style>
  <w:style w:type="character" w:styleId="920">
    <w:name w:val="Знак сноски"/>
    <w:next w:val="920"/>
    <w:link w:val="899"/>
    <w:rPr>
      <w:vertAlign w:val="superscript"/>
    </w:rPr>
  </w:style>
  <w:style w:type="character" w:styleId="921" w:default="1">
    <w:name w:val="Default Paragraph Font"/>
    <w:uiPriority w:val="1"/>
    <w:semiHidden/>
    <w:unhideWhenUsed/>
  </w:style>
  <w:style w:type="numbering" w:styleId="922" w:default="1">
    <w:name w:val="No List"/>
    <w:uiPriority w:val="99"/>
    <w:semiHidden/>
    <w:unhideWhenUsed/>
  </w:style>
  <w:style w:type="table" w:styleId="92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Р7-Офис/2024.3.2.584</Application>
  <Company>energosbyt</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energosbyt</dc:creator>
  <cp:revision>5</cp:revision>
  <dcterms:created xsi:type="dcterms:W3CDTF">2023-12-12T07:00:00Z</dcterms:created>
  <dcterms:modified xsi:type="dcterms:W3CDTF">2025-02-06T07:42:20Z</dcterms:modified>
  <cp:version>1048576</cp:version>
</cp:coreProperties>
</file>