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spacing w:line="240" w:lineRule="auto"/>
        <w:jc w:val="left"/>
        <w:rPr>
          <w:b/>
          <w:bCs w:val="0"/>
          <w:color w:val="auto"/>
          <w:sz w:val="24"/>
          <w:szCs w:val="24"/>
          <w:lang w:eastAsia="en-US"/>
        </w:rPr>
      </w:pPr>
      <w:r>
        <w:rPr>
          <w:b/>
          <w:bCs w:val="0"/>
          <w:color w:val="auto"/>
          <w:sz w:val="24"/>
          <w:szCs w:val="24"/>
          <w:lang w:eastAsia="en-US"/>
        </w:rPr>
      </w:r>
      <w:r>
        <w:rPr>
          <w:b/>
          <w:bCs w:val="0"/>
          <w:color w:val="auto"/>
          <w:sz w:val="24"/>
          <w:szCs w:val="24"/>
          <w:lang w:eastAsia="en-US"/>
        </w:rPr>
      </w:r>
      <w:r>
        <w:rPr>
          <w:b/>
          <w:bCs w:val="0"/>
          <w:color w:val="auto"/>
          <w:sz w:val="24"/>
          <w:szCs w:val="24"/>
          <w:lang w:eastAsia="en-US"/>
        </w:rPr>
      </w:r>
    </w:p>
    <w:p>
      <w:pPr>
        <w:pStyle w:val="839"/>
        <w:spacing w:line="240" w:lineRule="auto"/>
        <w:rPr>
          <w:b/>
          <w:bCs w:val="0"/>
          <w:color w:val="auto"/>
          <w:sz w:val="24"/>
          <w:szCs w:val="24"/>
          <w:lang w:eastAsia="en-US"/>
        </w:rPr>
      </w:pPr>
      <w:r>
        <w:rPr>
          <w:b/>
          <w:bCs w:val="0"/>
          <w:color w:val="auto"/>
          <w:sz w:val="24"/>
          <w:szCs w:val="24"/>
          <w:lang w:eastAsia="en-US"/>
        </w:rPr>
        <w:t xml:space="preserve">Отчет по Программе мероприятий по повышению качества обслуживания </w:t>
      </w:r>
      <w:r>
        <w:rPr>
          <w:b/>
          <w:bCs w:val="0"/>
          <w:color w:val="auto"/>
          <w:sz w:val="24"/>
          <w:szCs w:val="24"/>
          <w:lang w:eastAsia="en-US"/>
        </w:rPr>
      </w:r>
      <w:r>
        <w:rPr>
          <w:b/>
          <w:bCs w:val="0"/>
          <w:color w:val="auto"/>
          <w:sz w:val="24"/>
          <w:szCs w:val="24"/>
          <w:lang w:eastAsia="en-US"/>
        </w:rPr>
      </w:r>
    </w:p>
    <w:p>
      <w:pPr>
        <w:pStyle w:val="839"/>
        <w:spacing w:line="240" w:lineRule="auto"/>
        <w:rPr>
          <w:b/>
          <w:bCs w:val="0"/>
          <w:color w:val="auto"/>
          <w:sz w:val="24"/>
          <w:szCs w:val="24"/>
          <w:lang w:eastAsia="en-US"/>
        </w:rPr>
      </w:pPr>
      <w:r>
        <w:rPr>
          <w:b/>
          <w:bCs w:val="0"/>
          <w:color w:val="auto"/>
          <w:sz w:val="24"/>
          <w:szCs w:val="24"/>
          <w:lang w:eastAsia="en-US"/>
        </w:rPr>
        <w:t xml:space="preserve">потребителей (покупателей) ПАО "Саратовэнерго" </w:t>
      </w:r>
      <w:r>
        <w:rPr>
          <w:b/>
          <w:bCs w:val="0"/>
          <w:color w:val="auto"/>
          <w:sz w:val="24"/>
          <w:szCs w:val="24"/>
          <w:lang w:eastAsia="en-US"/>
        </w:rPr>
      </w:r>
      <w:r>
        <w:rPr>
          <w:b/>
          <w:bCs w:val="0"/>
          <w:color w:val="auto"/>
          <w:sz w:val="24"/>
          <w:szCs w:val="24"/>
          <w:lang w:eastAsia="en-US"/>
        </w:rPr>
      </w:r>
    </w:p>
    <w:p>
      <w:pPr>
        <w:pStyle w:val="839"/>
        <w:spacing w:line="240" w:lineRule="auto"/>
        <w:rPr>
          <w:b/>
          <w:bCs w:val="0"/>
          <w:color w:val="auto"/>
          <w:sz w:val="24"/>
          <w:szCs w:val="24"/>
          <w:lang w:eastAsia="en-US"/>
        </w:rPr>
      </w:pPr>
      <w:bookmarkStart w:id="0" w:name="_Hlk135406154"/>
      <w:r>
        <w:rPr>
          <w:b/>
          <w:bCs w:val="0"/>
          <w:color w:val="auto"/>
          <w:sz w:val="24"/>
          <w:szCs w:val="24"/>
          <w:lang w:eastAsia="en-US"/>
        </w:rPr>
        <w:t xml:space="preserve">на </w:t>
      </w:r>
      <w:r>
        <w:rPr>
          <w:b/>
          <w:bCs w:val="0"/>
          <w:color w:val="auto"/>
          <w:sz w:val="24"/>
          <w:szCs w:val="24"/>
          <w:lang w:eastAsia="en-US"/>
        </w:rPr>
        <w:t xml:space="preserve">2023-</w:t>
      </w:r>
      <w:r>
        <w:rPr>
          <w:b/>
          <w:bCs w:val="0"/>
          <w:color w:val="auto"/>
          <w:sz w:val="24"/>
          <w:szCs w:val="24"/>
          <w:lang w:eastAsia="en-US"/>
        </w:rPr>
        <w:t xml:space="preserve">2024 год </w:t>
      </w:r>
      <w:bookmarkEnd w:id="0"/>
      <w:r>
        <w:rPr>
          <w:b/>
          <w:bCs w:val="0"/>
          <w:color w:val="auto"/>
          <w:sz w:val="24"/>
          <w:szCs w:val="24"/>
          <w:lang w:eastAsia="en-US"/>
        </w:rPr>
      </w:r>
      <w:r>
        <w:rPr>
          <w:b/>
          <w:bCs w:val="0"/>
          <w:color w:val="auto"/>
          <w:sz w:val="24"/>
          <w:szCs w:val="24"/>
          <w:lang w:eastAsia="en-US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1"/>
        <w:ind w:left="0" w:firstLine="72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1"/>
        <w:numPr>
          <w:numId w:val="3"/>
          <w:ilvl w:val="0"/>
        </w:numPr>
        <w:ind w:left="0" w:firstLine="720"/>
        <w:jc w:val="both"/>
        <w:rPr>
          <w:b/>
        </w:rPr>
      </w:pPr>
      <w:r>
        <w:rPr>
          <w:b/>
          <w:lang w:val="ru-RU"/>
        </w:rPr>
        <w:t xml:space="preserve"> </w:t>
      </w:r>
      <w:r>
        <w:rPr>
          <w:b/>
        </w:rPr>
        <w:t xml:space="preserve">Анализ</w:t>
      </w:r>
      <w:r>
        <w:rPr>
          <w:b/>
        </w:rPr>
        <w:t xml:space="preserve"> </w:t>
      </w:r>
      <w:r>
        <w:rPr>
          <w:b/>
        </w:rPr>
        <w:t xml:space="preserve">текущего</w:t>
      </w:r>
      <w:r>
        <w:rPr>
          <w:b/>
        </w:rPr>
        <w:t xml:space="preserve"> </w:t>
      </w:r>
      <w:r>
        <w:rPr>
          <w:b/>
        </w:rPr>
        <w:t xml:space="preserve">состояния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861"/>
        <w:ind w:left="0" w:firstLine="72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1"/>
        <w:ind w:left="0" w:firstLine="720"/>
        <w:jc w:val="both"/>
        <w:rPr>
          <w:b/>
          <w:bCs/>
          <w:highlight w:val="white"/>
        </w:rPr>
      </w:pPr>
      <w:r>
        <w:rPr>
          <w:lang w:val="ru-RU"/>
        </w:rPr>
        <w:t xml:space="preserve">В Обществе организовано обслуживание клиентов – физических лиц (В2С) и юридических лиц (В2В) в</w:t>
      </w:r>
      <w:r>
        <w:rPr>
          <w:highlight w:val="white"/>
          <w:lang w:val="ru-RU"/>
        </w:rPr>
        <w:t xml:space="preserve"> режиме 24/7 с распределением нагрузки по очным и дистанционным каналам коммуникаций.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720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В целях очного обслуживания клиентов в ПАО «Саратовэнерго» функционируют 8 центров обслуживания ФЛ (ЦО ФЛ) и 20 групп по работе с клиентами ФЛ (ГРП ФЛ).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ind w:firstLine="720"/>
        <w:jc w:val="both"/>
        <w:rPr>
          <w:highlight w:val="none"/>
          <w:lang w:val="ru-RU"/>
        </w:rPr>
      </w:pPr>
      <w:r>
        <w:rPr>
          <w:highlight w:val="none"/>
          <w:lang w:val="ru-RU"/>
        </w:rPr>
        <w:t xml:space="preserve">В 4 ЦО ФЛ и 5 ГРП ФЛ имеется по 2 офиса обслуживания клиентов ФЛ, таким образом </w:t>
      </w:r>
      <w:r>
        <w:rPr>
          <w:highlight w:val="none"/>
          <w:lang w:val="ru-RU"/>
        </w:rPr>
        <w:t xml:space="preserve">о</w:t>
      </w:r>
      <w:r>
        <w:rPr>
          <w:highlight w:val="white"/>
          <w:lang w:val="ru-RU"/>
        </w:rPr>
        <w:t xml:space="preserve">бслуживание клиентов ФЛ </w:t>
      </w:r>
      <w:r>
        <w:rPr>
          <w:highlight w:val="none"/>
          <w:lang w:val="ru-RU"/>
        </w:rPr>
        <w:t xml:space="preserve">осуществляется в 37 офисах обслуживания. </w:t>
      </w:r>
      <w:r>
        <w:rPr>
          <w:highlight w:val="none"/>
          <w:lang w:val="ru-RU"/>
        </w:rPr>
        <w:t xml:space="preserve">Обслуживание клиентов ЮЛ осуществляется в 7 межрайонных отделениях (МРО).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ind w:firstLine="720"/>
        <w:jc w:val="both"/>
        <w:rPr>
          <w:highlight w:val="red"/>
          <w:lang w:val="ru-RU"/>
        </w:rPr>
      </w:pPr>
      <w:r>
        <w:rPr>
          <w:highlight w:val="red"/>
          <w:lang w:val="ru-RU"/>
        </w:rPr>
      </w:r>
      <w:r>
        <w:rPr>
          <w:highlight w:val="red"/>
          <w:lang w:val="ru-RU"/>
        </w:rPr>
      </w:r>
      <w:r>
        <w:rPr>
          <w:highlight w:val="red"/>
          <w:lang w:val="ru-RU"/>
        </w:rPr>
      </w:r>
    </w:p>
    <w:p>
      <w:pPr>
        <w:ind w:firstLine="720"/>
        <w:jc w:val="both"/>
        <w:rPr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  <w:t xml:space="preserve">Перечень офисов обслуживания ПАО «Саратовэнерго»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ind w:firstLine="720"/>
        <w:jc w:val="both"/>
        <w:rPr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2387"/>
        <w:gridCol w:w="4696"/>
        <w:gridCol w:w="4819"/>
        <w:gridCol w:w="1701"/>
        <w:gridCol w:w="1701"/>
      </w:tblGrid>
      <w:tr>
        <w:trPr>
          <w:trHeight w:val="993"/>
        </w:trPr>
        <w:tblPrEx/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Наименование центров обслуживания клиентов/клиентских офисов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469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Адреса центров обслуживания клиентов/клиентских офисов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График обслуживания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Обслуживание сегмента B2C/B2B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  <w:lang w:val="ru-RU" w:eastAsia="ru-RU"/>
              </w:rPr>
              <w:t xml:space="preserve">Возможность оплаты без комиссии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2"/>
                <w:szCs w:val="22"/>
                <w:highlight w:val="none"/>
              </w:rPr>
            </w:r>
          </w:p>
        </w:tc>
      </w:tr>
      <w:tr>
        <w:trPr>
          <w:trHeight w:val="1262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Ершовского и Дергачевского районов (клиенты Ершовского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413503,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Ершов, ул. Ломоносова, 2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B2C/B2B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557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Балашовского и Романовского районов (клиенты Балашовского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412315,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Балашов, ул. Володарского, 41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B2C/B2B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16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Пугачевского и Перелюбского районов (клиенты Пугачевского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413720,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Пугачев, ул. Сеницы, 26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B2C/B2B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1129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Энгельсского и Ровенского районов (клиенты Энгельсского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413100,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Энгельс, пл. Свободы, 15Б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B2C/B2B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30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Марксовского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413093,Саратовская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Маркс, ул. Кирова, 35а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974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Балаковского и Духовницкого районов (клиенты Балаковского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410857,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Балаково, ул. Факел Социализма, 21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B2C/B2B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985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Вольского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412900,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Вольск, ул. Токина, 1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985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Саратовского района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410002,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Саратов, ул. им. Мичурина И.В., 166/168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</w:t>
              <w:br/>
              <w:t xml:space="preserve">пт, сб. с 08:00 до 16:00 перерыв с 12:00 до 13:00                                                         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B2C/B2B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942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Балашовского и Романовского районов (клиенты Романовского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412270,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Романовка, ул. Народная, 13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17:00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Терминал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Пугачевского и Перелюбского районов (клиенты Перелюбского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413750,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с. Перелюб, ул. Чапаевская, 95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16:00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Энгельсского и Ровенского районов (клиенты Ровенского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413270,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Ровное, ул. Гагарина, 10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17:00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Сайт/ЛКК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Центр обслуживания физических лиц Балаковского и Духовницкого районов (клиенты Духовницкого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413900,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Духовницкое, ул. Ленина, 12/12в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17:00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Сайт/ЛКК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Новоузенского и Александрово-Гайского районов (клиенты Новоузенского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413360,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Новоузенск, ул. Московская, 30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Новоузенского и Александрово-Гайского районов (клиенты Александрово-Гайского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413370,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с. Александров Гай, пл. Торговый центр, 9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16:00 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Озинского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413600,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Озинки, ул. Пушкинская, 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Татищевского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412170,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Татищево, ул. Крупской, 21 «А»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B2C/B2B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Аткарского и Екатериновского районов (клиенты Аткарского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412423,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Аткарск, ул. Чапаева, 74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Аткарского и Екатериновского районов (клиенты Екатериновского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412120,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Екатериновка, ул. Советская, 47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17:00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Калининского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412484,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Калининск, ул. Коллективная, 6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Красноармейского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412800 г. Красноармейск, Карла Маркса д.85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Лысогорского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412860,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Лысые Горы, ул. Луговая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Ртищевского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412031,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Ртищево, ул. 60 лет Октября, 7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Самойловского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412370,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Самойловка, ул. 30 лет Победы, 32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Аркадакского и Турковского районов (клиенты Аркадакского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412210,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Аркадак, ул. Ленина, 16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Аркадакского и Турковского районов (клиенты Турковского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412070,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Турки, ул. Революционная, 13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17:00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Ивантеевского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413950,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с. Ивантеевка, ул. Интернациональная, 1Б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16:00, пт. с 08:00 до 15:00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Воскресенского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413030,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с. Воскресенское, ул. Калинина, 5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16:00, пт. с 08:00 до 15:00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Петровского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412540,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Петровск, ул. Спартака, 8а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Базарно-Карабулакского и Балтайского районов (клиенты Базарно-Карабулакского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412600,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Базарный Карабулак, ул. Ленина, 2a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Базарно-Карабулакского и Балтайского районов (клиенты Балтайского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412630,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с. Балтай, пер. Почтовый, 17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16:00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Новобурасского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412580,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Новые Бурасы, ул. Баумана, 32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Советского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413210,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п. Степное, ул. 50 лет Победы, 13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Краснокутского и Питерского районов (клиенты Краснокутского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413240,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Красный Кут, ул. Рабочая, 60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Краснокутского и Питерского районов (клиенты Питерского района)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413320,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с. Питерка, ул. Ленина, 73, 2-й этаж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вт.и чт. с 08:00 до 16:00 перерыв с 12:00 до 13:00</w:t>
              <w:br/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Федоровского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413410,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р.п. Мокроус, ул. Центральная, 55а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842"/>
        </w:trPr>
        <w:tblPrEx/>
        <w:tc>
          <w:tcPr>
            <w:tcW w:w="2387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Хвалынского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412780,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г. Хвалынск, ул. Советская, 128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Касса /терминал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>
          <w:trHeight w:val="1005"/>
        </w:trPr>
        <w:tblPrEx/>
        <w:tc>
          <w:tcPr>
            <w:tcW w:w="238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Группа по работе с потребителями - физическими лицами Краснопартизанского района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69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413540, Саратовская область,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п. Горный, ул. Краснопартизанская, 23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481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пн.- чт. с 08:00 до 17:00, пт. с 08:00 до 16:00</w:t>
              <w:br/>
              <w:t xml:space="preserve">перерыв с 12:00 до 13:00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 w:eastAsia="ru-RU"/>
              </w:rPr>
              <w:t xml:space="preserve">B2C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W w:w="170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Сайт/ЛКК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hd w:val="clear" w:color="auto" w:fill="auto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</w:tbl>
    <w:p>
      <w:pPr>
        <w:ind w:firstLine="720"/>
        <w:jc w:val="both"/>
        <w:rPr>
          <w:b/>
          <w:bCs/>
          <w:highlight w:val="red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highlight w:val="red"/>
          <w:lang w:val="ru-RU"/>
        </w:rPr>
      </w:r>
      <w:r>
        <w:rPr>
          <w:b/>
          <w:bCs/>
          <w:highlight w:val="red"/>
          <w:lang w:val="ru-RU"/>
        </w:rPr>
      </w:r>
    </w:p>
    <w:p>
      <w:pPr>
        <w:tabs>
          <w:tab w:val="left" w:pos="1134" w:leader="none"/>
        </w:tabs>
        <w:ind w:left="0"/>
        <w:jc w:val="both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tabs>
          <w:tab w:val="left" w:pos="1134" w:leader="none"/>
        </w:tabs>
        <w:ind w:left="360"/>
        <w:jc w:val="both"/>
        <w:rPr>
          <w:lang w:val="ru-RU" w:eastAsia="ru-RU"/>
        </w:rPr>
      </w:pPr>
      <w:r>
        <w:rPr>
          <w:lang w:val="ru-RU" w:eastAsia="ru-RU"/>
        </w:rPr>
        <w:t xml:space="preserve">Внедрены типовые алгоритмы очного обслуживания клиентов В2С/В2В.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ind w:firstLine="567"/>
        <w:contextualSpacing/>
        <w:jc w:val="both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spacing w:after="160" w:line="259" w:lineRule="auto"/>
        <w:ind w:firstLine="709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В целях дистанционного обслуживания </w:t>
      </w:r>
      <w:r>
        <w:rPr>
          <w:color w:val="111111"/>
          <w:lang w:val="ru-RU"/>
        </w:rPr>
        <w:t xml:space="preserve">клиентов Общества </w:t>
      </w:r>
      <w:r>
        <w:rPr>
          <w:rFonts w:eastAsiaTheme="minorHAnsi"/>
          <w:lang w:val="ru-RU"/>
        </w:rPr>
        <w:t xml:space="preserve">функционируют следующие интерактивные сервисы: 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ind w:firstLine="709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5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b/>
          <w:lang w:val="ru-RU"/>
        </w:rPr>
        <w:t xml:space="preserve">Официальный сайт Общества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4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организовано круглосуточное обслуживание клиентов посредством сайта; 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4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сайт адаптирован для просмотра с мобильных устройств;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4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внедрена кнопка для перехода на версию сайта для слабовидящих, которая располагается на главной странице официального сайта;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4"/>
          <w:ilvl w:val="0"/>
        </w:numPr>
        <w:spacing w:after="160" w:line="259" w:lineRule="auto"/>
        <w:ind w:left="426" w:hanging="436"/>
        <w:jc w:val="both"/>
        <w:rPr>
          <w:rFonts w:eastAsiaTheme="minorHAnsi"/>
          <w:color w:val="2f5496" w:themeColor="accent1" w:themeShade="BF"/>
          <w:lang w:val="ru-RU"/>
        </w:rPr>
      </w:pPr>
      <w:r>
        <w:rPr>
          <w:rFonts w:eastAsiaTheme="minorHAnsi"/>
          <w:lang w:val="ru-RU"/>
        </w:rPr>
        <w:t xml:space="preserve">созданы разделы со способами решения вопросов и размещением информации в соответствии с требованиями действующего законодательства.</w:t>
      </w:r>
      <w:r>
        <w:rPr>
          <w:rFonts w:eastAsiaTheme="minorHAnsi"/>
          <w:color w:val="2f5496" w:themeColor="accent1" w:themeShade="BF"/>
          <w:lang w:val="ru-RU"/>
        </w:rPr>
      </w:r>
      <w:r>
        <w:rPr>
          <w:rFonts w:eastAsiaTheme="minorHAnsi"/>
          <w:color w:val="2f5496" w:themeColor="accent1" w:themeShade="BF"/>
          <w:lang w:val="ru-RU"/>
        </w:rPr>
      </w:r>
    </w:p>
    <w:p>
      <w:pPr>
        <w:numPr>
          <w:numId w:val="15"/>
          <w:ilvl w:val="0"/>
        </w:numPr>
        <w:ind w:left="426" w:hanging="426"/>
        <w:contextualSpacing/>
        <w:jc w:val="both"/>
        <w:rPr>
          <w:lang w:val="ru-RU"/>
        </w:rPr>
      </w:pPr>
      <w:r>
        <w:rPr>
          <w:lang w:val="ru-RU"/>
        </w:rPr>
        <w:t xml:space="preserve">внедрен сервис «чат-бот» на официальном сайте Общества, который позволяет круглосуточно (ежедневно, без выходных и праздничных дней) в режиме онлайн-обслуживать клиентов-физических лиц. Виртуальный собеседник</w:t>
      </w:r>
      <w:r>
        <w:rPr>
          <w:lang w:val="ru-RU"/>
        </w:rPr>
        <w:t xml:space="preserve"> обеспечивает диалог с клиентом по основным темам часто задаваемых вопросов, в т.ч. информирование о тарифах на услуги, о балансе счета, прием показаний приборов учета электрической энергии, порядок заключения/переоформления договора энергоснабжения и т.д.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5"/>
          <w:ilvl w:val="0"/>
        </w:numPr>
        <w:ind w:left="426" w:hanging="426"/>
        <w:contextualSpacing/>
        <w:jc w:val="both"/>
        <w:rPr>
          <w:lang w:val="ru-RU"/>
        </w:rPr>
      </w:pPr>
      <w:r>
        <w:rPr>
          <w:lang w:val="ru-RU"/>
        </w:rPr>
        <w:t xml:space="preserve">внедрен сервис онлайн-формы «быстрой оплаты» без авторизации (приём платежей без комиссии);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5"/>
          <w:ilvl w:val="0"/>
        </w:numPr>
        <w:ind w:left="426" w:hanging="426"/>
        <w:contextualSpacing/>
        <w:jc w:val="both"/>
        <w:rPr>
          <w:lang w:val="ru-RU"/>
        </w:rPr>
      </w:pPr>
      <w:r>
        <w:rPr>
          <w:lang w:val="ru-RU"/>
        </w:rPr>
        <w:t xml:space="preserve">внедрен сервис онлайн-формы «Предварительная запись на очный приём»;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15"/>
          <w:ilvl w:val="0"/>
        </w:numPr>
        <w:ind w:left="426" w:hanging="426"/>
        <w:contextualSpacing/>
        <w:jc w:val="both"/>
        <w:rPr>
          <w:lang w:val="ru-RU"/>
        </w:rPr>
      </w:pPr>
      <w:r>
        <w:rPr>
          <w:lang w:val="ru-RU"/>
        </w:rPr>
        <w:t xml:space="preserve">внедрен сервис онлайн-формы «Заказ коммерческих услуг».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spacing w:after="160" w:line="259" w:lineRule="auto"/>
        <w:ind w:left="426" w:hanging="436"/>
        <w:jc w:val="both"/>
        <w:rPr>
          <w:rFonts w:eastAsiaTheme="minorHAnsi"/>
          <w:color w:val="2f5496" w:themeColor="accent1" w:themeShade="BF"/>
          <w:lang w:val="ru-RU"/>
        </w:rPr>
      </w:pPr>
      <w:r>
        <w:rPr>
          <w:rFonts w:eastAsiaTheme="minorHAnsi"/>
          <w:color w:val="2f5496" w:themeColor="accent1" w:themeShade="BF"/>
          <w:lang w:val="ru-RU"/>
        </w:rPr>
      </w:r>
      <w:r>
        <w:rPr>
          <w:rFonts w:eastAsiaTheme="minorHAnsi"/>
          <w:color w:val="2f5496" w:themeColor="accent1" w:themeShade="BF"/>
          <w:lang w:val="ru-RU"/>
        </w:rPr>
      </w:r>
      <w:r>
        <w:rPr>
          <w:rFonts w:eastAsiaTheme="minorHAnsi"/>
          <w:color w:val="2f5496" w:themeColor="accent1" w:themeShade="BF"/>
          <w:lang w:val="ru-RU"/>
        </w:rPr>
      </w:r>
    </w:p>
    <w:p>
      <w:pPr>
        <w:pStyle w:val="861"/>
        <w:numPr>
          <w:numId w:val="6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b/>
          <w:lang w:val="ru-RU"/>
        </w:rPr>
        <w:t xml:space="preserve">Личный кабинет клиента (ЛКК)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7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Реализ</w:t>
      </w:r>
      <w:r>
        <w:rPr>
          <w:rFonts w:eastAsiaTheme="minorHAnsi"/>
          <w:lang w:val="ru-RU"/>
        </w:rPr>
        <w:t xml:space="preserve">ован</w:t>
      </w:r>
      <w:r>
        <w:rPr>
          <w:rFonts w:eastAsiaTheme="minorHAnsi"/>
          <w:lang w:val="ru-RU"/>
        </w:rPr>
        <w:t xml:space="preserve"> на сайте Общества ЛКК ФЛ</w:t>
      </w:r>
      <w:r>
        <w:rPr>
          <w:rFonts w:eastAsiaTheme="minorHAnsi"/>
          <w:lang w:val="ru-RU"/>
        </w:rPr>
        <w:t xml:space="preserve"> и</w:t>
      </w:r>
      <w:r>
        <w:rPr>
          <w:rFonts w:eastAsiaTheme="minorHAnsi"/>
          <w:lang w:val="ru-RU"/>
        </w:rPr>
        <w:t xml:space="preserve"> ЛКК ЮЛ</w:t>
      </w:r>
      <w:r>
        <w:rPr>
          <w:rFonts w:eastAsiaTheme="minorHAnsi"/>
          <w:lang w:val="ru-RU"/>
        </w:rPr>
        <w:t xml:space="preserve">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7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Реализован в</w:t>
      </w:r>
      <w:r>
        <w:rPr>
          <w:rFonts w:eastAsiaTheme="minorHAnsi"/>
          <w:lang w:val="ru-RU"/>
        </w:rPr>
        <w:t xml:space="preserve"> мобильном приложении ЛКК ФЛ «Мой Саратовэнерго»</w:t>
      </w:r>
      <w:r>
        <w:rPr>
          <w:rFonts w:eastAsiaTheme="minorHAnsi"/>
          <w:lang w:val="ru-RU"/>
        </w:rPr>
        <w:t xml:space="preserve"> и</w:t>
      </w:r>
      <w:r>
        <w:rPr>
          <w:rFonts w:eastAsiaTheme="minorHAnsi"/>
          <w:lang w:val="ru-RU"/>
        </w:rPr>
        <w:t xml:space="preserve"> ЛКК ЮЛ «Саратовэнерго»;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7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Предусмотрено размещение информации о перебоях в работе ЛКК;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7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Р</w:t>
      </w:r>
      <w:r>
        <w:rPr>
          <w:rFonts w:eastAsiaTheme="minorHAnsi"/>
          <w:lang w:val="ru-RU"/>
        </w:rPr>
        <w:t xml:space="preserve">азмещена следующая информация по договору энергоснабжения: реквизиты договора; номер лицевого счета; цена (тариф) по договору; начисления за период; задолженность по оплате электрической энергии; сведения о расчетных (контрольных) приборах учета</w:t>
      </w:r>
      <w:r>
        <w:rPr>
          <w:rFonts w:eastAsiaTheme="minorHAnsi"/>
          <w:lang w:val="ru-RU"/>
        </w:rPr>
        <w:t xml:space="preserve">, 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7"/>
          <w:ilvl w:val="0"/>
        </w:numPr>
        <w:spacing w:after="160" w:line="259" w:lineRule="auto"/>
        <w:ind w:left="426" w:hanging="43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Сохраняется историчность обращений</w:t>
      </w:r>
      <w:r>
        <w:rPr>
          <w:rFonts w:eastAsiaTheme="minorHAnsi"/>
          <w:lang w:val="ru-RU"/>
        </w:rPr>
        <w:t xml:space="preserve">.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spacing w:after="160" w:line="259" w:lineRule="auto"/>
        <w:ind w:left="0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spacing w:after="160" w:line="259" w:lineRule="auto"/>
        <w:ind w:left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8"/>
          <w:ilvl w:val="0"/>
        </w:numPr>
        <w:spacing w:after="160" w:line="259" w:lineRule="auto"/>
        <w:ind w:left="426" w:hanging="426"/>
        <w:jc w:val="both"/>
        <w:rPr>
          <w:rFonts w:eastAsiaTheme="minorHAnsi"/>
          <w:b/>
          <w:lang w:val="ru-RU"/>
        </w:rPr>
      </w:pPr>
      <w:r>
        <w:rPr>
          <w:rFonts w:eastAsiaTheme="minorHAnsi"/>
          <w:b/>
          <w:lang w:val="ru-RU"/>
        </w:rPr>
        <w:t xml:space="preserve">Интерактивная система голосового самообслуживания (</w:t>
      </w:r>
      <w:r>
        <w:rPr>
          <w:rFonts w:eastAsiaTheme="minorHAnsi"/>
          <w:b/>
        </w:rPr>
        <w:t xml:space="preserve">IVR</w:t>
      </w:r>
      <w:r>
        <w:rPr>
          <w:rFonts w:eastAsiaTheme="minorHAnsi"/>
          <w:b/>
          <w:lang w:val="ru-RU"/>
        </w:rPr>
        <w:t xml:space="preserve">) для клиентов-физических лиц</w:t>
      </w:r>
      <w:r>
        <w:rPr>
          <w:rFonts w:eastAsiaTheme="minorHAnsi"/>
          <w:b/>
          <w:lang w:val="ru-RU"/>
        </w:rPr>
      </w:r>
      <w:r>
        <w:rPr>
          <w:rFonts w:eastAsiaTheme="minorHAnsi"/>
          <w:b/>
          <w:lang w:val="ru-RU"/>
        </w:rPr>
      </w:r>
    </w:p>
    <w:p>
      <w:pPr>
        <w:spacing w:after="160" w:line="259" w:lineRule="auto"/>
        <w:ind w:firstLine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Организовано круглосуточное (ежедневно, без выходных и праздничных дней) обслуживание клиентов с использованием </w:t>
      </w:r>
      <w:r>
        <w:rPr>
          <w:rFonts w:eastAsiaTheme="minorHAnsi"/>
        </w:rPr>
        <w:t xml:space="preserve">IVR</w:t>
      </w:r>
      <w:r>
        <w:rPr>
          <w:rFonts w:eastAsiaTheme="minorHAnsi"/>
          <w:lang w:val="ru-RU"/>
        </w:rPr>
        <w:t xml:space="preserve"> с информированием по следующим темам: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9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о сумме задолженности по договору энергоснабжения;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9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о тарифах;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9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прием показаний приборов учета электрической энергии;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9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о балансе счета.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spacing w:after="160" w:line="259" w:lineRule="auto"/>
        <w:ind w:left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10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b/>
          <w:lang w:val="ru-RU"/>
        </w:rPr>
        <w:t xml:space="preserve">Аккаунты в социальных сетях</w:t>
      </w:r>
      <w:r>
        <w:rPr>
          <w:rFonts w:eastAsiaTheme="minorHAnsi"/>
          <w:lang w:val="ru-RU"/>
        </w:rPr>
        <w:t xml:space="preserve"> (VK, OK) 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11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  <w:t xml:space="preserve">информирование клиентов по актуальным вопросам и о новостях Компании, в том числе организована информационная рассылка не реже 2-х раз в месяц о необходимости передачи </w:t>
      </w:r>
      <w:r>
        <w:rPr>
          <w:rFonts w:eastAsiaTheme="minorHAnsi"/>
          <w:lang w:val="ru-RU"/>
        </w:rPr>
        <w:t xml:space="preserve">показаний приборов учета, о способах и сроках оплаты, о проводимых акциях и пр. (с </w:t>
      </w:r>
      <w:r>
        <w:rPr>
          <w:color w:val="111111"/>
          <w:lang w:val="ru-RU"/>
        </w:rPr>
        <w:t xml:space="preserve">понедельника по пятницу с 08:00 до 17:00, перерыв с 12:00 до 13:00; выходные – суббота, воскресенье).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spacing w:after="160" w:line="259" w:lineRule="auto"/>
        <w:ind w:left="426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pStyle w:val="861"/>
        <w:numPr>
          <w:numId w:val="12"/>
          <w:ilvl w:val="0"/>
        </w:numPr>
        <w:spacing w:after="160" w:line="259" w:lineRule="auto"/>
        <w:ind w:left="426" w:hanging="426"/>
        <w:jc w:val="both"/>
        <w:rPr>
          <w:rFonts w:eastAsiaTheme="minorHAnsi"/>
          <w:b/>
          <w:lang w:val="ru-RU"/>
        </w:rPr>
      </w:pPr>
      <w:r>
        <w:rPr>
          <w:rFonts w:eastAsiaTheme="minorHAnsi"/>
          <w:b/>
          <w:lang w:val="ru-RU"/>
        </w:rPr>
        <w:t xml:space="preserve">Дистанционное обслуживание клиентов организовано посредством: </w:t>
      </w:r>
      <w:r>
        <w:rPr>
          <w:rFonts w:eastAsiaTheme="minorHAnsi"/>
          <w:b/>
          <w:lang w:val="ru-RU"/>
        </w:rPr>
      </w:r>
      <w:r>
        <w:rPr>
          <w:rFonts w:eastAsiaTheme="minorHAnsi"/>
          <w:b/>
          <w:lang w:val="ru-RU"/>
        </w:rPr>
      </w:r>
    </w:p>
    <w:p>
      <w:pPr>
        <w:pStyle w:val="861"/>
        <w:numPr>
          <w:numId w:val="13"/>
          <w:ilvl w:val="0"/>
        </w:numPr>
        <w:spacing w:after="160" w:line="259" w:lineRule="auto"/>
        <w:ind w:left="426" w:hanging="426"/>
        <w:jc w:val="both"/>
        <w:rPr>
          <w:lang w:val="ru-RU"/>
        </w:rPr>
      </w:pPr>
      <w:r>
        <w:rPr>
          <w:rFonts w:eastAsiaTheme="minorHAnsi"/>
          <w:b/>
          <w:lang w:val="ru-RU"/>
        </w:rPr>
        <w:t xml:space="preserve">электронной почты </w:t>
      </w:r>
      <w:r>
        <w:rPr>
          <w:rFonts w:eastAsiaTheme="minorHAnsi"/>
          <w:lang w:val="ru-RU"/>
        </w:rPr>
        <w:t xml:space="preserve">для физических лиц: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mailto</w:instrText>
      </w:r>
      <w:r>
        <w:rPr>
          <w:lang w:val="ru-RU"/>
        </w:rPr>
        <w:instrText xml:space="preserve">:</w:instrText>
      </w:r>
      <w:r>
        <w:instrText xml:space="preserve">se</w:instrText>
      </w:r>
      <w:r>
        <w:rPr>
          <w:lang w:val="ru-RU"/>
        </w:rPr>
        <w:instrText xml:space="preserve">_</w:instrText>
      </w:r>
      <w:r>
        <w:instrText xml:space="preserve">support</w:instrText>
      </w:r>
      <w:r>
        <w:rPr>
          <w:lang w:val="ru-RU"/>
        </w:rPr>
        <w:instrText xml:space="preserve">@</w:instrText>
      </w:r>
      <w:r>
        <w:instrText xml:space="preserve">sarenergo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Style w:val="832"/>
        </w:rPr>
        <w:t xml:space="preserve">se</w:t>
      </w:r>
      <w:r>
        <w:rPr>
          <w:rStyle w:val="832"/>
          <w:lang w:val="ru-RU"/>
        </w:rPr>
        <w:t xml:space="preserve">_</w:t>
      </w:r>
      <w:r>
        <w:rPr>
          <w:rStyle w:val="832"/>
        </w:rPr>
        <w:t xml:space="preserve">support</w:t>
      </w:r>
      <w:r>
        <w:rPr>
          <w:rStyle w:val="832"/>
          <w:lang w:val="ru-RU"/>
        </w:rPr>
        <w:t xml:space="preserve">@</w:t>
      </w:r>
      <w:r>
        <w:rPr>
          <w:rStyle w:val="832"/>
        </w:rPr>
        <w:t xml:space="preserve">sarenergo</w:t>
      </w:r>
      <w:r>
        <w:rPr>
          <w:rStyle w:val="832"/>
          <w:lang w:val="ru-RU"/>
        </w:rPr>
        <w:t xml:space="preserve">.</w:t>
      </w:r>
      <w:r>
        <w:rPr>
          <w:rStyle w:val="832"/>
        </w:rPr>
        <w:t xml:space="preserve">ru</w:t>
      </w:r>
      <w:r>
        <w:rPr>
          <w:rStyle w:val="832"/>
        </w:rPr>
        <w:fldChar w:fldCharType="end"/>
      </w:r>
      <w:r>
        <w:rPr>
          <w:lang w:val="ru-RU"/>
        </w:rPr>
        <w:t xml:space="preserve"> </w:t>
      </w:r>
      <w:r>
        <w:rPr>
          <w:rFonts w:eastAsiaTheme="minorHAnsi"/>
          <w:lang w:val="ru-RU"/>
        </w:rPr>
        <w:t xml:space="preserve">(с </w:t>
      </w:r>
      <w:r>
        <w:rPr>
          <w:color w:val="111111"/>
          <w:lang w:val="ru-RU"/>
        </w:rPr>
        <w:t xml:space="preserve">понедельника по пятницу с 08:00 до 17:00, перерыв с 12:00 до 13:00; выходные – суббота, воскресенье).</w:t>
      </w:r>
      <w:r>
        <w:rPr>
          <w:lang w:val="ru-RU"/>
        </w:rPr>
      </w:r>
      <w:r>
        <w:rPr>
          <w:lang w:val="ru-RU"/>
        </w:rPr>
      </w:r>
    </w:p>
    <w:p>
      <w:pPr>
        <w:pStyle w:val="861"/>
        <w:numPr>
          <w:numId w:val="13"/>
          <w:ilvl w:val="0"/>
        </w:numPr>
        <w:spacing w:after="160" w:line="259" w:lineRule="auto"/>
        <w:ind w:left="426" w:hanging="426"/>
        <w:jc w:val="both"/>
        <w:rPr>
          <w:rStyle w:val="832"/>
          <w:sz w:val="21"/>
          <w:szCs w:val="21"/>
          <w:lang w:val="ru-RU"/>
        </w:rPr>
      </w:pPr>
      <w:r>
        <w:rPr>
          <w:rFonts w:eastAsiaTheme="minorHAnsi"/>
          <w:b/>
          <w:lang w:val="ru-RU"/>
        </w:rPr>
        <w:t xml:space="preserve">электронной почты </w:t>
      </w:r>
      <w:r>
        <w:rPr>
          <w:lang w:val="ru-RU"/>
        </w:rPr>
        <w:t xml:space="preserve">для юридических лиц -</w:t>
      </w:r>
      <w:r>
        <w:rPr>
          <w:sz w:val="21"/>
          <w:szCs w:val="21"/>
          <w:lang w:val="ru-RU"/>
        </w:rPr>
        <w:t xml:space="preserve"> </w:t>
      </w:r>
      <w:r>
        <w:rPr>
          <w:rFonts w:eastAsiaTheme="minorHAnsi"/>
          <w:lang w:val="ru-RU"/>
        </w:rPr>
        <w:t xml:space="preserve"> 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ma</w:instrText>
      </w:r>
      <w:r>
        <w:instrText xml:space="preserve">ilto</w:instrText>
      </w:r>
      <w:r>
        <w:rPr>
          <w:lang w:val="ru-RU"/>
        </w:rPr>
        <w:instrText xml:space="preserve">:</w:instrText>
      </w:r>
      <w:r>
        <w:instrText xml:space="preserve">office</w:instrText>
      </w:r>
      <w:r>
        <w:rPr>
          <w:lang w:val="ru-RU"/>
        </w:rPr>
        <w:instrText xml:space="preserve">@</w:instrText>
      </w:r>
      <w:r>
        <w:instrText xml:space="preserve">sarenergo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Style w:val="832"/>
        </w:rPr>
        <w:t xml:space="preserve">office</w:t>
      </w:r>
      <w:r>
        <w:rPr>
          <w:rStyle w:val="832"/>
          <w:lang w:val="ru-RU"/>
        </w:rPr>
        <w:t xml:space="preserve">@</w:t>
      </w:r>
      <w:r>
        <w:rPr>
          <w:rStyle w:val="832"/>
        </w:rPr>
        <w:t xml:space="preserve">sarenergo</w:t>
      </w:r>
      <w:r>
        <w:rPr>
          <w:rStyle w:val="832"/>
          <w:lang w:val="ru-RU"/>
        </w:rPr>
        <w:t xml:space="preserve">.</w:t>
      </w:r>
      <w:r>
        <w:rPr>
          <w:rStyle w:val="832"/>
        </w:rPr>
        <w:t xml:space="preserve">ru</w:t>
      </w:r>
      <w:r>
        <w:rPr>
          <w:rStyle w:val="832"/>
        </w:rPr>
        <w:fldChar w:fldCharType="end"/>
      </w:r>
      <w:r>
        <w:rPr>
          <w:lang w:val="ru-RU"/>
        </w:rPr>
        <w:t xml:space="preserve"> </w:t>
      </w:r>
      <w:r>
        <w:rPr>
          <w:rFonts w:eastAsiaTheme="minorHAnsi"/>
          <w:lang w:val="ru-RU"/>
        </w:rPr>
        <w:t xml:space="preserve">(с </w:t>
      </w:r>
      <w:r>
        <w:rPr>
          <w:color w:val="111111"/>
          <w:lang w:val="ru-RU"/>
        </w:rPr>
        <w:t xml:space="preserve">понедельника по пятницу с 08:00 до 17:00, без перерыва; выходные – суббота, воскресенье).</w:t>
      </w:r>
      <w:r>
        <w:rPr>
          <w:rStyle w:val="832"/>
          <w:sz w:val="21"/>
          <w:szCs w:val="21"/>
          <w:lang w:val="ru-RU"/>
        </w:rPr>
      </w:r>
      <w:r>
        <w:rPr>
          <w:rStyle w:val="832"/>
          <w:sz w:val="21"/>
          <w:szCs w:val="21"/>
          <w:lang w:val="ru-RU"/>
        </w:rPr>
      </w:r>
    </w:p>
    <w:p>
      <w:pPr>
        <w:pStyle w:val="861"/>
        <w:numPr>
          <w:numId w:val="14"/>
          <w:ilvl w:val="0"/>
        </w:numPr>
        <w:spacing w:after="160" w:line="259" w:lineRule="auto"/>
        <w:ind w:left="426" w:hanging="426"/>
        <w:jc w:val="both"/>
        <w:rPr>
          <w:rFonts w:eastAsiaTheme="minorHAnsi"/>
          <w:lang w:val="ru-RU"/>
        </w:rPr>
      </w:pPr>
      <w:r>
        <w:rPr>
          <w:rFonts w:eastAsiaTheme="minorHAnsi"/>
          <w:b/>
          <w:lang w:val="ru-RU"/>
        </w:rPr>
        <w:t xml:space="preserve">по телефону контактного </w:t>
      </w:r>
      <w:bookmarkStart w:id="1" w:name="_Hlk139361552"/>
      <w:r>
        <w:rPr>
          <w:rFonts w:eastAsiaTheme="minorHAnsi"/>
          <w:b/>
          <w:lang w:val="ru-RU"/>
        </w:rPr>
        <w:t xml:space="preserve">центра </w:t>
      </w:r>
      <w:r>
        <w:rPr>
          <w:b/>
          <w:caps/>
          <w:lang w:val="ru-RU"/>
        </w:rPr>
        <w:t xml:space="preserve">8 (8452) 69-45-45</w:t>
      </w:r>
      <w:r>
        <w:rPr>
          <w:b/>
          <w:caps/>
          <w:sz w:val="32"/>
          <w:szCs w:val="32"/>
          <w:lang w:val="ru-RU"/>
        </w:rPr>
        <w:t xml:space="preserve"> </w:t>
      </w:r>
      <w:r>
        <w:rPr>
          <w:rFonts w:eastAsiaTheme="minorHAnsi"/>
          <w:b/>
          <w:lang w:val="ru-RU"/>
        </w:rPr>
        <w:t xml:space="preserve">для физических лиц</w:t>
      </w:r>
      <w:r>
        <w:rPr>
          <w:rFonts w:eastAsiaTheme="minorHAnsi"/>
          <w:lang w:val="ru-RU"/>
        </w:rPr>
        <w:t xml:space="preserve">. Прием вызовов по телефону оператором осуществляется не менее 10 часов в сутки с понедельника по пятницу с 8:00 до 18:00 по московскому времени, в субботу с 8:00 до 15:00 (кроме официальных нерабочих праздничных дней)</w:t>
      </w:r>
      <w:bookmarkEnd w:id="1"/>
      <w:r>
        <w:rPr>
          <w:rFonts w:eastAsiaTheme="minorHAnsi"/>
          <w:lang w:val="ru-RU"/>
        </w:rPr>
        <w:t xml:space="preserve">.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numPr>
          <w:numId w:val="16"/>
          <w:ilvl w:val="0"/>
        </w:numPr>
        <w:spacing w:line="259" w:lineRule="auto"/>
        <w:ind w:left="714" w:hanging="357"/>
        <w:jc w:val="both"/>
        <w:rPr>
          <w:rFonts w:eastAsiaTheme="minorHAnsi"/>
          <w:lang w:val="ru-RU"/>
        </w:rPr>
      </w:pPr>
      <w:r>
        <w:rPr>
          <w:rFonts w:eastAsiaTheme="minorHAnsi"/>
          <w:bCs/>
          <w:lang w:val="ru-RU"/>
        </w:rPr>
        <w:t xml:space="preserve">В </w:t>
      </w:r>
      <w:r>
        <w:rPr>
          <w:rFonts w:eastAsiaTheme="minorHAnsi"/>
          <w:bCs/>
          <w:lang w:val="ru-RU"/>
        </w:rPr>
        <w:t xml:space="preserve">Энгельсском</w:t>
      </w:r>
      <w:r>
        <w:rPr>
          <w:rFonts w:eastAsiaTheme="minorHAnsi"/>
          <w:bCs/>
          <w:lang w:val="ru-RU"/>
        </w:rPr>
        <w:t xml:space="preserve">, Балаковском, </w:t>
      </w:r>
      <w:r>
        <w:rPr>
          <w:rFonts w:eastAsiaTheme="minorHAnsi"/>
          <w:bCs/>
          <w:lang w:val="ru-RU"/>
        </w:rPr>
        <w:t xml:space="preserve">Балашовском, Саратовском, Пугачевском, Вольском, Петровском</w:t>
      </w:r>
      <w:r>
        <w:rPr>
          <w:rFonts w:eastAsiaTheme="minorHAnsi"/>
          <w:bCs/>
          <w:lang w:val="ru-RU"/>
        </w:rPr>
        <w:t xml:space="preserve"> офисах обслуживания установлены терминалы электронной очереди.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numPr>
          <w:numId w:val="16"/>
          <w:ilvl w:val="0"/>
        </w:numPr>
        <w:spacing w:line="259" w:lineRule="auto"/>
        <w:ind w:left="714" w:hanging="357"/>
        <w:jc w:val="both"/>
        <w:rPr>
          <w:rFonts w:eastAsiaTheme="minorHAnsi"/>
          <w:lang w:val="ru-RU"/>
        </w:rPr>
      </w:pPr>
      <w:r>
        <w:rPr>
          <w:rFonts w:eastAsiaTheme="minorHAnsi"/>
          <w:bCs/>
          <w:lang w:val="ru-RU"/>
        </w:rPr>
        <w:t xml:space="preserve">На территории Балашовского и Энгельсского ЦО ФЛ установлены аппараты онлайн видео консультант «АСВК».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numPr>
          <w:numId w:val="16"/>
          <w:ilvl w:val="0"/>
        </w:numPr>
        <w:spacing w:line="259" w:lineRule="auto"/>
        <w:ind w:left="714" w:hanging="357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Ежемесячно в системе СУВК регистрируется более 40 000 обращений клиентов ФЛ. 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numPr>
          <w:numId w:val="16"/>
          <w:ilvl w:val="0"/>
        </w:numPr>
        <w:spacing w:line="259" w:lineRule="auto"/>
        <w:ind w:left="714" w:hanging="357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Ежемесячно в системе CRM регистрируется более 2000 обращений клиентов ЮЛ.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numPr>
          <w:numId w:val="16"/>
          <w:ilvl w:val="0"/>
        </w:numPr>
        <w:spacing w:line="259" w:lineRule="auto"/>
        <w:ind w:left="714" w:hanging="357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Обеспечен переход на регистрацию всех обращений клиентов сегмента В2С/B2B в системе СУВК/CRM.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spacing w:after="160" w:line="259" w:lineRule="auto"/>
        <w:ind w:left="360"/>
        <w:jc w:val="both"/>
        <w:rPr>
          <w:rFonts w:eastAsiaTheme="minorHAnsi"/>
          <w:b/>
          <w:bCs/>
          <w:lang w:val="ru-RU"/>
        </w:rPr>
      </w:pPr>
      <w:r>
        <w:rPr>
          <w:rFonts w:eastAsiaTheme="minorHAnsi"/>
          <w:b/>
          <w:bCs/>
          <w:lang w:val="ru-RU"/>
        </w:rPr>
      </w:r>
      <w:r>
        <w:rPr>
          <w:rFonts w:eastAsiaTheme="minorHAnsi"/>
          <w:b/>
          <w:bCs/>
          <w:lang w:val="ru-RU"/>
        </w:rPr>
      </w:r>
      <w:r>
        <w:rPr>
          <w:rFonts w:eastAsiaTheme="minorHAnsi"/>
          <w:b/>
          <w:bCs/>
          <w:lang w:val="ru-RU"/>
        </w:rPr>
      </w:r>
    </w:p>
    <w:p>
      <w:pPr>
        <w:pStyle w:val="861"/>
        <w:numPr>
          <w:numId w:val="18"/>
          <w:ilvl w:val="0"/>
        </w:num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b/>
          <w:bCs/>
          <w:lang w:val="ru-RU"/>
        </w:rPr>
        <w:t xml:space="preserve">Обслуживание по телефону:</w:t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numPr>
          <w:numId w:val="16"/>
          <w:ilvl w:val="0"/>
        </w:numPr>
        <w:spacing w:after="160" w:line="259" w:lineRule="auto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Между ПАО «Саратовэнерго» и АО «Мосэнергосбыт» заключен договор на оказание услуг по заочному обслуживанию клиентов Общества (ОКЦ). В рамках данного договора осуществляется: 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pStyle w:val="861"/>
        <w:numPr>
          <w:numId w:val="17"/>
          <w:ilvl w:val="0"/>
        </w:numPr>
        <w:spacing w:after="160" w:line="259" w:lineRule="auto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Прием звонков от клиентов ФЛ;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pStyle w:val="861"/>
        <w:numPr>
          <w:numId w:val="17"/>
          <w:ilvl w:val="0"/>
        </w:numPr>
        <w:spacing w:after="160" w:line="259" w:lineRule="auto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Информирование клиентов должников по средствам Робота-коллектора;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pStyle w:val="861"/>
        <w:numPr>
          <w:numId w:val="17"/>
          <w:ilvl w:val="0"/>
        </w:numPr>
        <w:spacing w:after="160" w:line="259" w:lineRule="auto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Информирование клиентов должников по средствам Ручного обзвона (ОКЦ);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pStyle w:val="861"/>
        <w:numPr>
          <w:numId w:val="17"/>
          <w:ilvl w:val="0"/>
        </w:numPr>
        <w:spacing w:after="160" w:line="259" w:lineRule="auto"/>
        <w:jc w:val="both"/>
        <w:rPr>
          <w:rFonts w:eastAsiaTheme="minorHAnsi"/>
          <w:bCs/>
          <w:lang w:val="ru-RU"/>
        </w:rPr>
      </w:pPr>
      <w:r>
        <w:rPr>
          <w:rFonts w:eastAsiaTheme="minorHAnsi"/>
          <w:bCs/>
          <w:lang w:val="ru-RU"/>
        </w:rPr>
        <w:t xml:space="preserve">Автоинформирование</w:t>
      </w:r>
      <w:r>
        <w:rPr>
          <w:rFonts w:eastAsiaTheme="minorHAnsi"/>
          <w:bCs/>
          <w:lang w:val="ru-RU"/>
        </w:rPr>
        <w:t xml:space="preserve"> клиентов должников.</w:t>
      </w:r>
      <w:r>
        <w:rPr>
          <w:rFonts w:eastAsiaTheme="minorHAnsi"/>
          <w:bCs/>
          <w:lang w:val="ru-RU"/>
        </w:rPr>
      </w:r>
      <w:r>
        <w:rPr>
          <w:rFonts w:eastAsiaTheme="minorHAnsi"/>
          <w:bCs/>
          <w:lang w:val="ru-RU"/>
        </w:rPr>
      </w:r>
    </w:p>
    <w:p>
      <w:pPr>
        <w:spacing w:after="160" w:line="259" w:lineRule="auto"/>
        <w:jc w:val="center"/>
        <w:rPr>
          <w:rFonts w:ascii="Liberation Serif" w:hAnsi="Liberation Serif" w:cs="Liberation Serif"/>
          <w:b/>
          <w:bCs/>
          <w:color w:val="000000" w:themeColor="text1"/>
          <w:highlight w:val="none"/>
          <w:lang w:val="ru-RU"/>
        </w:rPr>
      </w:pPr>
      <w:r>
        <w:rPr>
          <w:rFonts w:ascii="Liberation Serif" w:hAnsi="Liberation Serif" w:cs="Liberation Serif" w:eastAsiaTheme="minorHAnsi"/>
          <w:b/>
          <w:color w:val="000000" w:themeColor="text1"/>
          <w:lang w:val="ru-RU"/>
        </w:rPr>
        <w:t xml:space="preserve">Результаты мониторинга показателей качества обслуживания клиентов по очным и дистанционным каналам коммуникаций за 2024 год </w:t>
      </w:r>
      <w:r>
        <w:rPr>
          <w:rFonts w:ascii="Liberation Serif" w:hAnsi="Liberation Serif" w:cs="Liberation Serif"/>
          <w:b/>
          <w:bCs/>
          <w:color w:val="000000" w:themeColor="text1"/>
          <w:highlight w:val="none"/>
          <w:lang w:val="ru-RU"/>
        </w:rPr>
      </w:r>
      <w:r>
        <w:rPr>
          <w:rFonts w:ascii="Liberation Serif" w:hAnsi="Liberation Serif" w:cs="Liberation Serif"/>
          <w:b/>
          <w:bCs/>
          <w:color w:val="000000" w:themeColor="text1"/>
          <w:highlight w:val="none"/>
          <w:lang w:val="ru-RU"/>
        </w:rPr>
      </w:r>
    </w:p>
    <w:tbl>
      <w:tblPr>
        <w:tblW w:w="1543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851"/>
        <w:gridCol w:w="850"/>
        <w:gridCol w:w="851"/>
        <w:gridCol w:w="817"/>
        <w:gridCol w:w="868"/>
        <w:gridCol w:w="852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jc w:val="center"/>
          <w:trHeight w:val="629"/>
        </w:trPr>
        <w:tblPrEx/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 w:eastAsia="ru-RU"/>
              </w:rPr>
              <w:t xml:space="preserve">SLA (показатели качества обслуживания)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 w:eastAsia="ru-RU"/>
              </w:rPr>
              <w:t xml:space="preserve">Плановые значения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r>
          </w:p>
        </w:tc>
        <w:tc>
          <w:tcPr>
            <w:tcW w:w="10192" w:type="dxa"/>
            <w:gridSpan w:val="1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 w:eastAsia="ru-RU"/>
              </w:rPr>
              <w:t xml:space="preserve">фактическое значение за период 2024 год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ind w:right="38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Выполнено/ не выполнено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  <w:tr>
        <w:trPr>
          <w:jc w:val="center"/>
          <w:trHeight w:val="582"/>
        </w:trPr>
        <w:tblPrEx/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</w:r>
            <w:r>
              <w:rPr>
                <w:b/>
                <w:bCs/>
                <w:lang w:val="ru-RU" w:eastAsia="ru-RU"/>
              </w:rPr>
            </w:r>
            <w:r>
              <w:rPr>
                <w:b/>
                <w:bCs/>
                <w:lang w:val="ru-RU" w:eastAsia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нижнее значение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целевое значение 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янв.244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фев.244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мар.24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1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апр.24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май.24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righ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июн.24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июл.24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авг. 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сен. 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окт.24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ноя.24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дек.24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  <w:tr>
        <w:trPr>
          <w:jc w:val="center"/>
          <w:trHeight w:val="386"/>
        </w:trPr>
        <w:tblPrEx/>
        <w:tc>
          <w:tcPr>
            <w:tcW w:w="1543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 w:eastAsia="ru-RU"/>
              </w:rPr>
              <w:t xml:space="preserve">Очное обслуживание клиентов (клиентский офис)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r>
          </w:p>
        </w:tc>
      </w:tr>
      <w:tr>
        <w:trPr>
          <w:jc w:val="center"/>
          <w:trHeight w:val="1335"/>
        </w:trPr>
        <w:tblPrEx/>
        <w:tc>
          <w:tcPr>
            <w:tcW w:w="21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Время ожидания в очереди (Средний показатель в расчетном периоде по данным электронной очереди)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30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&lt; 10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0:11:09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0:10:52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0:10:49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1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ind w:left="0" w:right="0" w:firstLine="0"/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0:08:36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0:12:32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left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0:09:36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0:13:14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0:13:35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Выполнено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  <w:tr>
        <w:trPr>
          <w:jc w:val="center"/>
          <w:trHeight w:val="1605"/>
        </w:trPr>
        <w:tblPrEx/>
        <w:tc>
          <w:tcPr>
            <w:tcW w:w="21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Время обслуживания 1 клиента (Среднее время обслуживания 1 клиента при условии обращения не более чем по 3-м темам)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20-5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&lt; 5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0:09:30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0:07:17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0:08:33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1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0:07:36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0:08:53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jc w:val="both"/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0:07:51</w:t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0:10:31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0:08:31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0:09:50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0:13:13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0:12:37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Выполнено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  <w:tr>
        <w:trPr>
          <w:jc w:val="center"/>
          <w:trHeight w:val="195"/>
        </w:trPr>
        <w:tblPrEx/>
        <w:tc>
          <w:tcPr>
            <w:tcW w:w="1543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e1f2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 w:eastAsia="ru-RU"/>
              </w:rPr>
              <w:t xml:space="preserve">Дистанционное обслуживание клиентов – физических лиц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lang w:val="ru-RU"/>
              </w:rPr>
            </w:r>
          </w:p>
        </w:tc>
      </w:tr>
      <w:tr>
        <w:trPr>
          <w:jc w:val="center"/>
          <w:trHeight w:val="1185"/>
        </w:trPr>
        <w:tblPrEx/>
        <w:tc>
          <w:tcPr>
            <w:tcW w:w="21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Среднее время ожидания в очереди при звонке в контактный центр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5-3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&lt;3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1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0:00:39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Выполнено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  <w:tr>
        <w:trPr>
          <w:jc w:val="center"/>
          <w:trHeight w:val="960"/>
        </w:trPr>
        <w:tblPrEx/>
        <w:tc>
          <w:tcPr>
            <w:tcW w:w="21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Время обслуживания 1 клиента при звонке в контактный центр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10-5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&lt;5 мин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1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0:02:59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0:02:54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0:03:14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Выполнено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  <w:tr>
        <w:trPr>
          <w:jc w:val="center"/>
          <w:trHeight w:val="1155"/>
        </w:trPr>
        <w:tblPrEx/>
        <w:tc>
          <w:tcPr>
            <w:tcW w:w="21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Доля принятых вызовов при звонке в контактный центр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(доступность)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70-90 %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&gt; 90 %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92,48%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97,98%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95,34%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1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99,06%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98,35%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93,75%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96,41%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98,60%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87,54%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97,44%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95,63%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90,38%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Выполнено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  <w:tr>
        <w:trPr>
          <w:jc w:val="center"/>
          <w:trHeight w:val="904"/>
        </w:trPr>
        <w:tblPrEx/>
        <w:tc>
          <w:tcPr>
            <w:tcW w:w="1543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lang w:val="ru-RU" w:eastAsia="ru-RU"/>
              </w:rPr>
              <w:t xml:space="preserve">Обращения клиентов – физических лиц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835"/>
        </w:trPr>
        <w:tblPrEx/>
        <w:tc>
          <w:tcPr>
            <w:tcW w:w="21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debf7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Время предоставления ответа на письменные обращения (бумажные или электронные обращения), требующие официального письменного ответа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20 - 14 дней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 &lt;14 дней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 дней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 дней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 дней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1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дней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дней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 дней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 дней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дней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 дня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 дней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 дней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 дней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18"/>
                <w:szCs w:val="18"/>
                <w:lang w:val="ru-RU" w:eastAsia="ru-RU"/>
              </w:rPr>
              <w:t xml:space="preserve">Выполнено</w:t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r>
          </w:p>
        </w:tc>
      </w:tr>
    </w:tbl>
    <w:p>
      <w:pPr>
        <w:spacing w:after="160" w:line="259" w:lineRule="auto"/>
        <w:jc w:val="center"/>
        <w:rPr>
          <w:rFonts w:ascii="Liberation Serif" w:hAnsi="Liberation Serif" w:cs="Liberation Serif"/>
          <w:b/>
          <w:bCs/>
          <w:color w:val="000000" w:themeColor="text1"/>
          <w:lang w:val="ru-RU"/>
        </w:rPr>
      </w:pPr>
      <w:r>
        <w:rPr>
          <w:rFonts w:ascii="Liberation Serif" w:hAnsi="Liberation Serif" w:cs="Liberation Serif"/>
          <w:b/>
          <w:color w:val="000000" w:themeColor="text1"/>
          <w:highlight w:val="none"/>
          <w:lang w:val="ru-RU"/>
        </w:rPr>
      </w:r>
      <w:r>
        <w:rPr>
          <w:rFonts w:ascii="Liberation Serif" w:hAnsi="Liberation Serif" w:cs="Liberation Serif"/>
          <w:b/>
          <w:bCs/>
          <w:color w:val="000000" w:themeColor="text1"/>
          <w:lang w:val="ru-RU"/>
        </w:rPr>
      </w:r>
      <w:r>
        <w:rPr>
          <w:rFonts w:ascii="Liberation Serif" w:hAnsi="Liberation Serif" w:cs="Liberation Serif"/>
          <w:b/>
          <w:bCs/>
          <w:color w:val="000000" w:themeColor="text1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eastAsiaTheme="minorHAnsi"/>
          <w:lang w:val="ru-RU"/>
        </w:rPr>
      </w:pPr>
      <w:r>
        <w:rPr>
          <w:rFonts w:ascii="Liberation Serif" w:hAnsi="Liberation Serif" w:cs="Liberation Serif" w:eastAsiaTheme="minorHAnsi"/>
          <w:b/>
          <w:color w:val="000000" w:themeColor="text1"/>
          <w:highlight w:val="none"/>
          <w:lang w:val="ru-RU"/>
        </w:rPr>
      </w:r>
      <w:r>
        <w:rPr>
          <w:rFonts w:eastAsiaTheme="minorHAnsi"/>
          <w:lang w:val="ru-RU"/>
        </w:rPr>
      </w:r>
      <w:r>
        <w:rPr>
          <w:rFonts w:eastAsiaTheme="minorHAnsi"/>
          <w:lang w:val="ru-RU"/>
        </w:rPr>
      </w:r>
    </w:p>
    <w:p>
      <w:pPr>
        <w:spacing w:after="160" w:line="259" w:lineRule="auto"/>
        <w:jc w:val="both"/>
        <w:rPr>
          <w:rFonts w:ascii="Liberation Serif" w:hAnsi="Liberation Serif" w:cs="Liberation Serif" w:eastAsiaTheme="minorHAnsi"/>
          <w:b/>
          <w:bCs/>
          <w:color w:val="000000" w:themeColor="text1"/>
          <w:highlight w:val="none"/>
          <w:lang w:val="ru-RU"/>
        </w:rPr>
      </w:pPr>
      <w:r>
        <w:rPr>
          <w:rFonts w:ascii="Liberation Serif" w:hAnsi="Liberation Serif" w:cs="Liberation Serif" w:eastAsiaTheme="minorHAnsi"/>
          <w:b/>
          <w:color w:val="000000" w:themeColor="text1"/>
          <w:highlight w:val="none"/>
          <w:lang w:val="ru-RU"/>
        </w:rPr>
      </w:r>
      <w:r>
        <w:rPr>
          <w:rFonts w:ascii="Liberation Serif" w:hAnsi="Liberation Serif" w:cs="Liberation Serif" w:eastAsiaTheme="minorHAnsi"/>
          <w:b/>
          <w:bCs/>
          <w:color w:val="000000" w:themeColor="text1"/>
          <w:highlight w:val="none"/>
          <w:lang w:val="ru-RU"/>
        </w:rPr>
      </w:r>
      <w:r>
        <w:rPr>
          <w:rFonts w:ascii="Liberation Serif" w:hAnsi="Liberation Serif" w:cs="Liberation Serif" w:eastAsiaTheme="minorHAnsi"/>
          <w:b/>
          <w:bCs/>
          <w:color w:val="000000" w:themeColor="text1"/>
          <w:highlight w:val="none"/>
          <w:lang w:val="ru-RU"/>
        </w:rPr>
      </w:r>
    </w:p>
    <w:p>
      <w:pPr>
        <w:spacing w:after="160" w:line="259" w:lineRule="auto"/>
        <w:jc w:val="both"/>
        <w:rPr>
          <w:rFonts w:eastAsiaTheme="minorHAnsi"/>
          <w:highlight w:val="none"/>
          <w:lang w:val="ru-RU"/>
        </w:rPr>
      </w:pPr>
      <w:r>
        <w:rPr>
          <w:rFonts w:eastAsiaTheme="minorHAnsi"/>
          <w:bCs/>
          <w:highlight w:val="none"/>
          <w:lang w:val="ru-RU"/>
        </w:rPr>
      </w:r>
      <w:r>
        <w:rPr>
          <w:rFonts w:ascii="Liberation Serif" w:hAnsi="Liberation Serif" w:cs="Liberation Serif" w:eastAsiaTheme="minorHAnsi"/>
          <w:b/>
          <w:color w:val="000000" w:themeColor="text1"/>
          <w:lang w:val="ru-RU"/>
        </w:rPr>
        <w:t xml:space="preserve">Информация о количестве поступивших обращений клиентов ПАО "Саратовэнерго" по всем каналам коммуникаций за 2024 год</w:t>
      </w:r>
      <w:r>
        <w:rPr>
          <w:rFonts w:eastAsiaTheme="minorHAnsi"/>
          <w:highlight w:val="none"/>
          <w:lang w:val="ru-RU"/>
        </w:rPr>
      </w:r>
      <w:r>
        <w:rPr>
          <w:rFonts w:eastAsiaTheme="minorHAnsi"/>
          <w:highlight w:val="none"/>
          <w:lang w:val="ru-RU"/>
        </w:rPr>
      </w:r>
    </w:p>
    <w:tbl>
      <w:tblPr>
        <w:tblW w:w="155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368"/>
        <w:gridCol w:w="2068"/>
        <w:gridCol w:w="1886"/>
        <w:gridCol w:w="2229"/>
        <w:gridCol w:w="2076"/>
        <w:gridCol w:w="2720"/>
        <w:gridCol w:w="2243"/>
      </w:tblGrid>
      <w:tr>
        <w:trPr>
          <w:trHeight w:val="1425"/>
        </w:trPr>
        <w:tblPrEx/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Клиенты 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2068" w:type="dxa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Очное обслуживание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Обслуживание по телефону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229" w:type="dxa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Обслуживание через интернет (ЛКК, сайт,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эл.почта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, соцсети и мессенджеры, ЭДО)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2076" w:type="dxa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Обслуживание письменных обращений (на бумажном носителе)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2720" w:type="dxa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Всего количество обращений клиентов по всем каналам коммуникаций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lang w:val="ru-RU"/>
              </w:rPr>
            </w:r>
          </w:p>
        </w:tc>
        <w:tc>
          <w:tcPr>
            <w:tcW w:w="2243" w:type="dxa"/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в том числе количество поступивших жалоб на качество поставляемой электрической энергии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lang w:val="ru-RU"/>
              </w:rPr>
            </w:r>
          </w:p>
        </w:tc>
      </w:tr>
      <w:tr>
        <w:trPr>
          <w:trHeight w:val="765"/>
        </w:trPr>
        <w:tblPrEx/>
        <w:tc>
          <w:tcPr>
            <w:tcW w:w="236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ФИЗИЧЕСКИЕ ЛИЦА (ФЛ, В2С)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0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416080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191272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W w:w="222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27828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0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7246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72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642426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2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e2efda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324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rPr>
          <w:trHeight w:val="860"/>
        </w:trPr>
        <w:tblPrEx/>
        <w:tc>
          <w:tcPr>
            <w:tcW w:w="2368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lang w:val="ru-RU" w:eastAsia="ru-RU"/>
              </w:rPr>
              <w:t xml:space="preserve">ЮРИДИЧЕСКИЕ ЛИЦА (ЮЛ, В2В)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06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20037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4458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22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2994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0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16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272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u w:val="none"/>
              </w:rPr>
              <w:t xml:space="preserve">27505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224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2cc"/>
            <w:noWrap w:val="false"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  <w:tr>
        <w:trPr>
          <w:trHeight w:val="841"/>
        </w:trPr>
        <w:tblPrEx/>
        <w:tc>
          <w:tcPr>
            <w:tcW w:w="2368" w:type="dxa"/>
            <w:tcBorders>
              <w:top w:val="non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Всего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2068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436 117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188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195 730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229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30 822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076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7 262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720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669 931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  <w:tc>
          <w:tcPr>
            <w:tcW w:w="2243" w:type="dxa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  <w:t xml:space="preserve">329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r>
          </w:p>
        </w:tc>
      </w:tr>
    </w:tbl>
    <w:p>
      <w:pPr>
        <w:spacing w:after="160" w:line="259" w:lineRule="auto"/>
        <w:jc w:val="both"/>
        <w:rPr>
          <w:rFonts w:ascii="Liberation Serif" w:hAnsi="Liberation Serif" w:cs="Liberation Serif" w:eastAsiaTheme="minorHAnsi"/>
          <w:b/>
          <w:bCs/>
          <w:color w:val="000000" w:themeColor="text1"/>
          <w:highlight w:val="none"/>
          <w:lang w:val="ru-RU"/>
        </w:rPr>
      </w:pPr>
      <w:r>
        <w:rPr>
          <w:rFonts w:eastAsiaTheme="minorHAnsi"/>
          <w:bCs/>
          <w:highlight w:val="none"/>
          <w:lang w:val="ru-RU"/>
        </w:rPr>
      </w:r>
      <w:r>
        <w:rPr>
          <w:rFonts w:ascii="Liberation Serif" w:hAnsi="Liberation Serif" w:cs="Liberation Serif" w:eastAsiaTheme="minorHAnsi"/>
          <w:b/>
          <w:bCs/>
          <w:color w:val="000000" w:themeColor="text1"/>
          <w:highlight w:val="none"/>
          <w:lang w:val="ru-RU"/>
        </w:rPr>
      </w:r>
      <w:r>
        <w:rPr>
          <w:rFonts w:ascii="Liberation Serif" w:hAnsi="Liberation Serif" w:cs="Liberation Serif" w:eastAsiaTheme="minorHAnsi"/>
          <w:b/>
          <w:bCs/>
          <w:color w:val="000000" w:themeColor="text1"/>
          <w:highlight w:val="none"/>
          <w:lang w:val="ru-RU"/>
        </w:rPr>
      </w:r>
    </w:p>
    <w:p>
      <w:pPr>
        <w:ind w:left="720"/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61"/>
        <w:numPr>
          <w:numId w:val="3"/>
          <w:ilvl w:val="0"/>
        </w:numPr>
        <w:jc w:val="both"/>
        <w:rPr>
          <w:b/>
          <w:lang w:val="ru-RU"/>
        </w:rPr>
      </w:pPr>
      <w:r>
        <w:rPr>
          <w:b/>
          <w:lang w:val="ru-RU"/>
        </w:rPr>
        <w:t xml:space="preserve"> План мероприятий по повышению качества обслуживания.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61"/>
        <w:ind w:left="1080"/>
        <w:jc w:val="both"/>
        <w:rPr>
          <w:b/>
          <w:bCs/>
          <w:lang w:val="ru-RU"/>
        </w:rPr>
      </w:pPr>
      <w:r>
        <w:rPr>
          <w:b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tbl>
      <w:tblPr>
        <w:tblStyle w:val="994"/>
        <w:tblW w:w="15732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843"/>
        <w:gridCol w:w="3551"/>
        <w:gridCol w:w="3281"/>
        <w:gridCol w:w="1963"/>
        <w:gridCol w:w="6094"/>
      </w:tblGrid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Предложения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Мероприятия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Срок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Результат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blPrEx/>
        <w:tc>
          <w:tcPr>
            <w:tcW w:w="843" w:type="dxa"/>
            <w:shd w:val="clear" w:color="ffffff" w:fill="d9e2f3" w:themeFill="accent1" w:themeFillTint="33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1.</w:t>
            </w:r>
          </w:p>
        </w:tc>
        <w:tc>
          <w:tcPr>
            <w:tcW w:w="14889" w:type="dxa"/>
            <w:gridSpan w:val="4"/>
            <w:shd w:val="clear" w:color="ffffff" w:fill="d9e2f3" w:themeFill="accent1" w:themeFillTint="33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Очное</w:t>
            </w:r>
            <w:r>
              <w:t xml:space="preserve"> </w:t>
            </w:r>
            <w:r>
              <w:t xml:space="preserve">обслуживание</w:t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Офис обслуживания клиентов В2В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03"/>
        </w:trPr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1.1.1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Развитие сервисов и п</w:t>
            </w:r>
            <w:r>
              <w:rPr>
                <w:highlight w:val="white"/>
                <w:lang w:val="ru-RU"/>
              </w:rPr>
              <w:t xml:space="preserve">овышение удобства</w:t>
            </w:r>
            <w:r>
              <w:rPr>
                <w:highlight w:val="white"/>
                <w:lang w:val="ru-RU"/>
              </w:rPr>
              <w:t xml:space="preserve"> очного обслуживания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клиентов B2B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Закупить и установить терминалы электронной очереди в ЦОК с высоким трафиком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01.06.2024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none"/>
              </w:rPr>
            </w:pPr>
            <w:r>
              <w:rPr>
                <w:highlight w:val="none"/>
                <w:lang w:val="ru-RU"/>
              </w:rPr>
              <w:t xml:space="preserve">В ПАО «Саратовэнерго» 7 МРО. </w:t>
            </w:r>
            <w:r>
              <w:rPr>
                <w:highlight w:val="none"/>
                <w:lang w:val="ru-RU"/>
              </w:rPr>
              <w:t xml:space="preserve">В каждом МРО сформирован Отдел по работе с клиентами - юридическими лицами. </w:t>
            </w:r>
            <w:r>
              <w:rPr>
                <w:highlight w:val="none"/>
                <w:lang w:val="ru-RU"/>
              </w:rPr>
              <w:t xml:space="preserve"> В Прихоперском, Приволжском, Северо-Восточном</w:t>
            </w:r>
            <w:r>
              <w:rPr>
                <w:highlight w:val="none"/>
                <w:lang w:val="ru-RU"/>
              </w:rPr>
              <w:t xml:space="preserve">, Центральном</w:t>
            </w:r>
            <w:r>
              <w:rPr>
                <w:highlight w:val="none"/>
                <w:lang w:val="ru-RU"/>
              </w:rPr>
              <w:t xml:space="preserve"> межрайонных отделениях установлены </w:t>
            </w:r>
            <w:r>
              <w:rPr>
                <w:highlight w:val="none"/>
                <w:lang w:val="ru-RU"/>
              </w:rPr>
              <w:t xml:space="preserve">терминалы электронной очереди, до проведения мероприятий по Программе. </w:t>
            </w:r>
            <w:r>
              <w:rPr>
                <w:highlight w:val="none"/>
                <w:lang w:val="ru-RU"/>
              </w:rPr>
              <w:t xml:space="preserve">В 2024 году терминалы дополнительно установили в</w:t>
            </w:r>
            <w:r>
              <w:rPr>
                <w:highlight w:val="none"/>
                <w:lang w:val="ru-RU"/>
              </w:rPr>
              <w:t xml:space="preserve"> Пугачевском МРО. </w:t>
            </w:r>
            <w:r>
              <w:rPr>
                <w:highlight w:val="none"/>
                <w:lang w:val="ru-RU"/>
              </w:rPr>
              <w:t xml:space="preserve">В 2025 году планируется </w:t>
            </w:r>
            <w:r>
              <w:rPr>
                <w:highlight w:val="none"/>
                <w:lang w:val="ru-RU"/>
              </w:rPr>
              <w:t xml:space="preserve">установка </w:t>
            </w:r>
            <w:r>
              <w:rPr>
                <w:highlight w:val="none"/>
                <w:lang w:val="ru-RU"/>
              </w:rPr>
              <w:t xml:space="preserve">терминалов электронной очереди</w:t>
            </w:r>
            <w:r>
              <w:rPr>
                <w:highlight w:val="none"/>
                <w:lang w:val="ru-RU"/>
              </w:rPr>
              <w:t xml:space="preserve"> еще в Заволжском и Правобережном МРО.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1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  <w:lang w:val="ru-RU"/>
              </w:rPr>
              <w:t xml:space="preserve">1</w:t>
            </w:r>
            <w:r>
              <w:rPr>
                <w:highlight w:val="white"/>
              </w:rPr>
              <w:t xml:space="preserve">.</w:t>
            </w:r>
            <w:r>
              <w:rPr>
                <w:highlight w:val="no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B2B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Провести дополнительное обучение специалистов, участвующих в очном обслуживании клиентов В2В, по работе в системе </w:t>
            </w:r>
            <w:r>
              <w:rPr>
                <w:highlight w:val="white"/>
              </w:rPr>
              <w:t xml:space="preserve">CRM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02.05.2024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Повышена </w:t>
            </w:r>
            <w:r>
              <w:rPr>
                <w:highlight w:val="white"/>
                <w:lang w:val="ru-RU"/>
              </w:rPr>
              <w:t xml:space="preserve">компетенция персонала,</w:t>
            </w:r>
            <w:r>
              <w:rPr>
                <w:highlight w:val="white"/>
                <w:lang w:val="ru-RU"/>
              </w:rPr>
              <w:t xml:space="preserve"> осуществляющего очное обслуживание клиентов В2В и работающего в системе CRM</w:t>
            </w:r>
            <w:r>
              <w:rPr>
                <w:highlight w:val="white"/>
                <w:lang w:val="ru-RU"/>
              </w:rPr>
              <w:t xml:space="preserve">.  </w:t>
            </w:r>
            <w:r>
              <w:rPr>
                <w:highlight w:val="white"/>
                <w:lang w:val="ru-RU"/>
              </w:rPr>
              <w:t xml:space="preserve">П</w:t>
            </w:r>
            <w:r>
              <w:rPr>
                <w:highlight w:val="white"/>
                <w:lang w:val="ru-RU"/>
              </w:rPr>
              <w:t xml:space="preserve">роведено обучение персонала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09.04.2024г.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Дополнительно проведено обучение работе с технической и юридической документацией в рамках договорной работы с ЮЛ по реализации электроэнергии и мощности» 13.11.2024г., 20.11.2024г., 23.12.2024г.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1.2.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Офис обслуживания клиентов В2С</w:t>
            </w:r>
          </w:p>
        </w:tc>
      </w:tr>
      <w:tr>
        <w:trPr>
          <w:trHeight w:val="2613"/>
        </w:trPr>
        <w:tblPrEx/>
        <w:tc>
          <w:tcPr>
            <w:tcW w:w="843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1.2.1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Развитие сервисов и п</w:t>
            </w:r>
            <w:r>
              <w:rPr>
                <w:highlight w:val="white"/>
                <w:lang w:val="ru-RU"/>
              </w:rPr>
              <w:t xml:space="preserve">овышение удобства</w:t>
            </w:r>
            <w:r>
              <w:rPr>
                <w:highlight w:val="white"/>
                <w:lang w:val="ru-RU"/>
              </w:rPr>
              <w:t xml:space="preserve"> очного обслуживания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клиентов B2C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Установить терминалы электронной очереди в ЦОК с высоким трафиком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shd w:val="clear" w:color="ffffff" w:fill="ffffff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01.06.2024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none"/>
              </w:rPr>
            </w:pPr>
            <w:r>
              <w:rPr>
                <w:highlight w:val="none"/>
                <w:lang w:val="ru-RU"/>
              </w:rPr>
              <w:t xml:space="preserve">В </w:t>
            </w:r>
            <w:r>
              <w:rPr>
                <w:highlight w:val="none"/>
                <w:lang w:val="ru-RU"/>
              </w:rPr>
              <w:t xml:space="preserve">ЦО ФЛ </w:t>
            </w:r>
            <w:r>
              <w:rPr>
                <w:highlight w:val="none"/>
                <w:lang w:val="ru-RU"/>
              </w:rPr>
              <w:t xml:space="preserve">Балашовского и Романовского районов</w:t>
            </w:r>
            <w:r>
              <w:rPr>
                <w:highlight w:val="none"/>
                <w:lang w:val="ru-RU"/>
              </w:rPr>
              <w:t xml:space="preserve">, </w:t>
            </w:r>
            <w:r>
              <w:rPr>
                <w:highlight w:val="none"/>
                <w:lang w:val="ru-RU"/>
              </w:rPr>
              <w:t xml:space="preserve">Балаковского и Духовницкого районов</w:t>
            </w:r>
            <w:r>
              <w:rPr>
                <w:highlight w:val="none"/>
                <w:lang w:val="ru-RU"/>
              </w:rPr>
              <w:t xml:space="preserve">, </w:t>
            </w:r>
            <w:r>
              <w:rPr>
                <w:highlight w:val="none"/>
                <w:lang w:val="ru-RU"/>
              </w:rPr>
              <w:t xml:space="preserve">Энгельсского и Ровенского районов</w:t>
            </w:r>
            <w:r>
              <w:rPr>
                <w:highlight w:val="none"/>
                <w:lang w:val="ru-RU"/>
              </w:rPr>
              <w:t xml:space="preserve"> ПАО «Саратовэнерго» были установлены </w:t>
            </w:r>
            <w:r>
              <w:rPr>
                <w:highlight w:val="none"/>
                <w:lang w:val="ru-RU"/>
              </w:rPr>
              <w:t xml:space="preserve">терминалы электронной очереди, до проведения мероприятий по Программе. </w:t>
            </w:r>
            <w:r>
              <w:rPr>
                <w:highlight w:val="none"/>
                <w:lang w:val="ru-RU"/>
              </w:rPr>
              <w:t xml:space="preserve">В 2024 году терминалы дополнительно установили еще  в 4-х территориальных подразделениях: в ЦО ФЛ </w:t>
            </w:r>
            <w:r>
              <w:rPr>
                <w:highlight w:val="none"/>
                <w:lang w:val="ru-RU"/>
              </w:rPr>
              <w:t xml:space="preserve">Вольского района, </w:t>
            </w:r>
            <w:r>
              <w:rPr>
                <w:highlight w:val="none"/>
                <w:lang w:val="ru-RU"/>
              </w:rPr>
              <w:t xml:space="preserve">Пугачевского и Перелюбского районов</w:t>
            </w:r>
            <w:r>
              <w:rPr>
                <w:highlight w:val="none"/>
                <w:lang w:val="ru-RU"/>
              </w:rPr>
              <w:t xml:space="preserve">, </w:t>
            </w:r>
            <w:r>
              <w:rPr>
                <w:highlight w:val="none"/>
                <w:lang w:val="ru-RU"/>
              </w:rPr>
              <w:t xml:space="preserve">Саратовского района</w:t>
            </w:r>
            <w:r>
              <w:rPr>
                <w:highlight w:val="none"/>
                <w:lang w:val="ru-RU"/>
              </w:rPr>
              <w:t xml:space="preserve">, ГРП ФЛ </w:t>
            </w:r>
            <w:r>
              <w:rPr>
                <w:highlight w:val="none"/>
                <w:lang w:val="ru-RU"/>
              </w:rPr>
              <w:t xml:space="preserve">Петровского района</w:t>
            </w:r>
            <w:r>
              <w:rPr>
                <w:highlight w:val="none"/>
                <w:lang w:val="ru-RU"/>
              </w:rPr>
              <w:t xml:space="preserve">. В 2025-2026 году планируется </w:t>
            </w:r>
            <w:r>
              <w:rPr>
                <w:highlight w:val="none"/>
                <w:lang w:val="ru-RU"/>
              </w:rPr>
              <w:t xml:space="preserve">установка </w:t>
            </w:r>
            <w:r>
              <w:rPr>
                <w:highlight w:val="none"/>
                <w:lang w:val="ru-RU"/>
              </w:rPr>
              <w:t xml:space="preserve">терминалов электронной очереди</w:t>
            </w:r>
            <w:r>
              <w:rPr>
                <w:highlight w:val="none"/>
                <w:lang w:val="ru-RU"/>
              </w:rPr>
              <w:t xml:space="preserve"> еще в 9 территориальных подразделениях.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1.2.2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Развитие сервисов и п</w:t>
            </w:r>
            <w:r>
              <w:rPr>
                <w:highlight w:val="white"/>
                <w:lang w:val="ru-RU"/>
              </w:rPr>
              <w:t xml:space="preserve">овышение удобства</w:t>
            </w:r>
            <w:r>
              <w:rPr>
                <w:highlight w:val="white"/>
                <w:lang w:val="ru-RU"/>
              </w:rPr>
              <w:t xml:space="preserve"> очного обслуживания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клиентов B2C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shd w:val="clear" w:color="auto" w:fill="auto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Обеспечить возможность проведения оплаты за потребленную электроэнергию безналичными денежными средствами в кассах Общества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31.12.</w:t>
            </w:r>
            <w:r>
              <w:rPr>
                <w:highlight w:val="white"/>
                <w:lang w:val="ru-RU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  <w:lang w:val="ru-RU"/>
              </w:rPr>
              <w:t xml:space="preserve">На данный момент в ПАО «Саратовэнерго» </w:t>
            </w:r>
            <w:r>
              <w:rPr>
                <w:highlight w:val="white"/>
                <w:lang w:val="ru-RU"/>
              </w:rPr>
              <w:t xml:space="preserve">возможность проведения оплаты за потребленную электроэнергию безналичными денежными средствами имеется в 34 отделениях Общества.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t xml:space="preserve">1.2.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r>
              <w:rPr>
                <w:highlight w:val="none"/>
                <w:lang w:val="ru-RU"/>
              </w:rPr>
              <w:t xml:space="preserve">П</w:t>
            </w:r>
            <w:r>
              <w:rPr>
                <w:highlight w:val="white"/>
                <w:lang w:val="ru-RU"/>
              </w:rPr>
              <w:t xml:space="preserve">овышение удобства</w:t>
            </w:r>
            <w:r>
              <w:rPr>
                <w:highlight w:val="white"/>
                <w:lang w:val="ru-RU"/>
              </w:rPr>
              <w:t xml:space="preserve"> очного обслуживания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клиентов B2C</w:t>
            </w:r>
            <w:r>
              <w:rPr>
                <w:highlight w:val="white"/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скользящего графика очного обслуживания клиентов ФЛ при котором исключается время обеденных и (или) технических перерывов в ЦОК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t xml:space="preserve">31.12.2024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none"/>
                <w:lang w:val="ru-RU"/>
                <w14:ligatures w14:val="none"/>
              </w:rPr>
            </w:pPr>
            <w:r>
              <w:rPr>
                <w:highlight w:val="yellow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В ПАО «Саратовэнерго» </w:t>
            </w:r>
            <w:r>
              <w:rPr>
                <w:highlight w:val="none"/>
                <w:lang w:val="ru-RU"/>
              </w:rPr>
              <w:t xml:space="preserve">с апреля 2025 года будет внедрен скользящего графика очного обслуживания клиентов в 8 ЦО ФЛ. График работы </w:t>
            </w:r>
            <w:r>
              <w:rPr>
                <w:highlight w:val="none"/>
                <w:lang w:val="ru-RU"/>
              </w:rPr>
              <w:t xml:space="preserve">пн.- чт. с 08:00 до 17:00, пт. с 8:00 до 16:00 без перерыва будет установлен в:</w:t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pStyle w:val="861"/>
              <w:numPr>
                <w:numId w:val="21"/>
                <w:ilvl w:val="0"/>
              </w:numPr>
              <w:shd w:val="clear" w:color="auto" w:fill="auto"/>
              <w:contextualSpacing/>
              <w:jc w:val="both"/>
              <w:rPr>
                <w:highlight w:val="whit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  <w:t xml:space="preserve">Центре обслуживания физических лиц Ершовского и Дергачевского районов (для обслуживания клиентов Ершовского района)</w:t>
            </w:r>
            <w:r>
              <w:rPr>
                <w:highlight w:val="white"/>
                <w:lang w:val="ru-RU"/>
                <w14:ligatures w14:val="none"/>
              </w:rPr>
            </w:r>
            <w:r>
              <w:rPr>
                <w:highlight w:val="white"/>
                <w:lang w:val="ru-RU"/>
                <w14:ligatures w14:val="none"/>
              </w:rPr>
            </w:r>
          </w:p>
          <w:p>
            <w:pPr>
              <w:pStyle w:val="861"/>
              <w:numPr>
                <w:numId w:val="21"/>
                <w:ilvl w:val="0"/>
              </w:numPr>
              <w:shd w:val="clear" w:color="auto" w:fill="auto"/>
              <w:contextualSpacing/>
              <w:jc w:val="both"/>
              <w:rPr>
                <w:highlight w:val="non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  <w:t xml:space="preserve">Центре обслуживания физических лиц Пугачевского и Перелюбского районов (для обслуживания клиентов Пугачевского района)</w:t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pStyle w:val="861"/>
              <w:numPr>
                <w:numId w:val="21"/>
                <w:ilvl w:val="0"/>
              </w:numPr>
              <w:shd w:val="clear" w:color="auto" w:fill="auto"/>
              <w:contextualSpacing/>
              <w:jc w:val="both"/>
              <w:rPr>
                <w:highlight w:val="non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  <w:t xml:space="preserve">Центре обслуживания физических лиц Марксовского района</w:t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pStyle w:val="861"/>
              <w:numPr>
                <w:numId w:val="21"/>
                <w:ilvl w:val="0"/>
              </w:numPr>
              <w:shd w:val="clear" w:color="auto" w:fill="auto"/>
              <w:contextualSpacing/>
              <w:jc w:val="both"/>
              <w:rPr>
                <w:highlight w:val="non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  <w:t xml:space="preserve">Центре обслуживания физических лиц Вольского района</w:t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pStyle w:val="861"/>
              <w:numPr>
                <w:numId w:val="21"/>
                <w:ilvl w:val="0"/>
              </w:numPr>
              <w:shd w:val="clear" w:color="auto" w:fill="auto"/>
              <w:contextualSpacing/>
              <w:jc w:val="both"/>
              <w:rPr>
                <w:highlight w:val="none"/>
                <w:lang w:val="ru-RU"/>
                <w14:ligatures w14:val="none"/>
              </w:rPr>
            </w:pPr>
            <w:r>
              <w:rPr>
                <w:highlight w:val="none"/>
                <w:lang w:val="ru-RU"/>
              </w:rPr>
              <w:t xml:space="preserve">Центре обслуживания физических лиц Саратовского района </w:t>
            </w:r>
            <w:r>
              <w:rPr>
                <w:highlight w:val="none"/>
                <w:lang w:val="ru-RU"/>
                <w14:ligatures w14:val="none"/>
              </w:rPr>
            </w:r>
            <w:r>
              <w:rPr>
                <w:highlight w:val="none"/>
                <w:lang w:val="ru-RU"/>
                <w14:ligatures w14:val="none"/>
              </w:rPr>
            </w:r>
          </w:p>
          <w:p>
            <w:pPr>
              <w:shd w:val="clear" w:color="auto" w:fill="auto"/>
              <w:contextualSpacing/>
              <w:jc w:val="both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  <w:t xml:space="preserve">График работы</w:t>
            </w:r>
            <w:r>
              <w:rPr>
                <w:highlight w:val="none"/>
                <w:lang w:val="ru-RU"/>
              </w:rPr>
              <w:t xml:space="preserve"> </w:t>
            </w:r>
            <w:r>
              <w:rPr>
                <w:highlight w:val="none"/>
                <w:lang w:val="ru-RU"/>
              </w:rPr>
              <w:t xml:space="preserve">пн.- чт. с 08:00 до 18:00, пт. с 8:00 до 17:00, сб. с 08:00 до 16:00 </w:t>
            </w:r>
            <w:r>
              <w:rPr>
                <w:highlight w:val="none"/>
                <w:lang w:val="ru-RU"/>
              </w:rPr>
              <w:t xml:space="preserve">без перерыва будет установлен в: 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61"/>
              <w:numPr>
                <w:numId w:val="22"/>
                <w:ilvl w:val="0"/>
              </w:numPr>
              <w:shd w:val="clear" w:color="auto" w:fill="auto"/>
              <w:contextualSpacing/>
              <w:jc w:val="both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Центре обслуживания физических лиц Балаковского и Духовницкого районов (клиенты Балаковского района)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61"/>
              <w:numPr>
                <w:numId w:val="22"/>
                <w:ilvl w:val="0"/>
              </w:numPr>
              <w:shd w:val="clear" w:color="auto" w:fill="auto"/>
              <w:contextualSpacing/>
              <w:jc w:val="both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  <w:t xml:space="preserve">Центре обслуживания физических лиц Балашовского и Романовского районов (клиенты Балашовского района)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pStyle w:val="861"/>
              <w:numPr>
                <w:numId w:val="22"/>
                <w:ilvl w:val="0"/>
              </w:numPr>
              <w:shd w:val="clear" w:color="auto" w:fill="auto"/>
              <w:contextualSpacing/>
              <w:jc w:val="both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  <w:t xml:space="preserve">Центр обслуживания физических лиц Энгельсского и Ровенского районов (клиенты Энгельсского района)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1.2.4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shd w:val="clear" w:color="auto" w:fill="auto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B2C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shd w:val="clear" w:color="auto" w:fill="auto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сбора информации о качестве обслуживания.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31.12.2024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none"/>
                <w14:ligatures w14:val="none"/>
              </w:rPr>
            </w:pPr>
            <w:r>
              <w:rPr>
                <w:highlight w:val="none"/>
                <w:lang w:val="ru-RU"/>
              </w:rPr>
              <w:t xml:space="preserve">ПАО «Саратовэнерго» осуществляет сбор информации о качестве обслуживания клиентов в офисе обслуживания с использованием метода «тайный покупатель», кроме того на стадии реализации находится процесс сбора информации с использованием email и телефона.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1.2.5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shd w:val="clear" w:color="auto" w:fill="auto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B2C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обучения сотрудников работе в информационной системе СУВК 2.0.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31.12.2023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Повышена </w:t>
            </w:r>
            <w:r>
              <w:rPr>
                <w:highlight w:val="white"/>
                <w:lang w:val="ru-RU"/>
              </w:rPr>
              <w:t xml:space="preserve">компетенция персонала</w:t>
            </w:r>
            <w:r>
              <w:rPr>
                <w:highlight w:val="white"/>
                <w:lang w:val="ru-RU"/>
              </w:rPr>
              <w:t xml:space="preserve"> осуществляющего очное обслуживание клиентов ФЛ</w:t>
            </w:r>
            <w:r>
              <w:rPr>
                <w:highlight w:val="white"/>
                <w:lang w:val="ru-RU"/>
              </w:rPr>
              <w:t xml:space="preserve">. 5 декабря 2023 года </w:t>
            </w:r>
            <w:r>
              <w:rPr>
                <w:highlight w:val="white"/>
                <w:lang w:val="ru-RU"/>
              </w:rPr>
              <w:t xml:space="preserve">проведено обучение персонала.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1.2.6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Развитие сервисов и п</w:t>
            </w:r>
            <w:r>
              <w:rPr>
                <w:highlight w:val="white"/>
                <w:lang w:val="ru-RU"/>
              </w:rPr>
              <w:t xml:space="preserve">овышение удобства</w:t>
            </w:r>
            <w:r>
              <w:rPr>
                <w:highlight w:val="white"/>
                <w:lang w:val="ru-RU"/>
              </w:rPr>
              <w:t xml:space="preserve"> и качества очного обслуживания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клиентов B2C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shd w:val="clear" w:color="auto" w:fill="auto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Разработка распорядительного документа с установлением приоритета внесение информации в СУВК 2.0 по актуализации профиля клиента и тематикам обращений, согласно типовым алгоритмам очного обслуживания клиентов В2С.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31.12.2023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  <w:t xml:space="preserve">В ПАО </w:t>
            </w:r>
            <w:r>
              <w:rPr>
                <w:highlight w:val="white"/>
                <w:lang w:val="ru-RU"/>
              </w:rPr>
              <w:t xml:space="preserve">«</w:t>
            </w:r>
            <w:r>
              <w:rPr>
                <w:highlight w:val="white"/>
                <w:lang w:val="ru-RU"/>
              </w:rPr>
              <w:t xml:space="preserve">Саратовэнерго» разработан распорядительный документ, </w:t>
            </w:r>
            <w:r>
              <w:rPr>
                <w:highlight w:val="white"/>
                <w:lang w:val="ru-RU"/>
              </w:rPr>
              <w:t xml:space="preserve">в соответствии с которым </w:t>
            </w:r>
            <w:r>
              <w:rPr>
                <w:highlight w:val="white"/>
                <w:lang w:val="ru-RU"/>
              </w:rPr>
              <w:t xml:space="preserve">установлен приоритет внесение информации в СУВК 2.0 по актуализации профиля клиента и тематикам обращений, согласно типовым алгоритмам очного обслуживания клиентов В2С</w:t>
            </w:r>
            <w:r>
              <w:rPr>
                <w:highlight w:val="none"/>
                <w:lang w:val="ru-RU"/>
              </w:rPr>
              <w:t xml:space="preserve">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1.2.7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shd w:val="clear" w:color="auto" w:fill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Снятие пиковой (неравномерной) нагрузки при приеме клиентов ФЛ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Закупка и установка терминалов АСВК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31.12.2024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  <w:lang w:val="ru-RU"/>
              </w:rPr>
              <w:t xml:space="preserve">В ПАО «Саратовэнерго» установлен </w:t>
            </w:r>
            <w:r>
              <w:rPr>
                <w:highlight w:val="white"/>
                <w:lang w:val="ru-RU"/>
              </w:rPr>
              <w:t xml:space="preserve">терминал АСВК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в ЦО ФЛ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Энгельсского и Ровенского районов и ЦО ФЛ </w:t>
            </w:r>
            <w:r>
              <w:rPr>
                <w:highlight w:val="white"/>
                <w:lang w:val="ru-RU"/>
              </w:rPr>
              <w:t xml:space="preserve">Балашовского и Романовского районов.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rPr/>
        <w:tblPrEx/>
        <w:tc>
          <w:tcPr>
            <w:tcW w:w="843" w:type="dxa"/>
            <w:shd w:val="clear" w:color="ffffff" w:fill="d9e2f3" w:themeFill="accent1" w:themeFillTint="33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2.</w:t>
            </w:r>
          </w:p>
        </w:tc>
        <w:tc>
          <w:tcPr>
            <w:tcW w:w="14889" w:type="dxa"/>
            <w:gridSpan w:val="4"/>
            <w:shd w:val="clear" w:color="ffffff" w:fill="d9e2f3" w:themeFill="accent1" w:themeFillTint="33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Дистанционное</w:t>
            </w:r>
            <w:r>
              <w:t xml:space="preserve"> </w:t>
            </w:r>
            <w:r>
              <w:t xml:space="preserve">обслуживание</w:t>
            </w:r>
            <w:r>
              <w:t xml:space="preserve"> </w:t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2.1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Обслуживание</w:t>
            </w:r>
            <w:r>
              <w:t xml:space="preserve"> </w:t>
            </w:r>
            <w:r>
              <w:t xml:space="preserve">по</w:t>
            </w:r>
            <w:r>
              <w:t xml:space="preserve"> </w:t>
            </w:r>
            <w:r>
              <w:t xml:space="preserve">телефону</w:t>
            </w:r>
            <w:r>
              <w:t xml:space="preserve"> В2В</w:t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2.1.1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В2В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Настройка и оборудование удаленных рабочих мест для работы сотрудников ПАО «Саратовэнерго» в качестве операторов контактного центра (КЦ) в части обслуживания клиентов В2В, а также подготовка и обучение данных сотрудников.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01.03.2024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</w:t>
            </w:r>
            <w:r>
              <w:rPr>
                <w:highlight w:val="white"/>
                <w:lang w:val="ru-RU"/>
              </w:rPr>
              <w:t xml:space="preserve">роведен анализ обращений клиентов ЮЛ в CRМ системе по каналу коммуникаций "телефон" за 2023/2024 гг. В 2023 году количество обращений, зарегистрированных в CRM по каналу коммуникаций "телефон" - 11 543, среднемесячный процент обращений от количества активн</w:t>
            </w:r>
            <w:r>
              <w:rPr>
                <w:highlight w:val="white"/>
                <w:lang w:val="ru-RU"/>
              </w:rPr>
              <w:t xml:space="preserve">ых договоров с ЮЛ (21 700) - 4,4%, в 2024 году - 4 457, среднемесячный процент обращений от количества активных договоров с ЮЛ (21 566) - 1,3%. Прогнозный процент обращений на 2025 - 0,5%.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В связи со снижением обращений через данный канал, а также переводом клиентов ЮЛ на цифровые форматы обслуживания (ЭДО, ЛКК) и вводом с 01.01.2025 в режим промышленной эксплуатации в Обществе  электронного документооборота, </w:t>
            </w:r>
            <w:r>
              <w:rPr>
                <w:highlight w:val="white"/>
                <w:lang w:val="ru-RU"/>
              </w:rPr>
              <w:t xml:space="preserve"> реализация данного пункта не целесообразна.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2.2.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Обслуживание</w:t>
            </w:r>
            <w:r>
              <w:t xml:space="preserve"> </w:t>
            </w:r>
            <w:r>
              <w:t xml:space="preserve">по</w:t>
            </w:r>
            <w:r>
              <w:t xml:space="preserve"> </w:t>
            </w:r>
            <w:r>
              <w:t xml:space="preserve">телефону</w:t>
            </w:r>
            <w:r>
              <w:t xml:space="preserve"> В2С</w:t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2.2.1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В2С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 xml:space="preserve">Организован мониторинг работы ОКЦ с разбором конкретных ситуаций с прослушиванием разговоров с клиентами ФЛ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31.12.2023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Повышение качества обслуживания клиентов ФЛ по телефону</w:t>
            </w:r>
            <w:r>
              <w:rPr>
                <w:highlight w:val="white"/>
                <w:lang w:val="ru-RU"/>
              </w:rPr>
              <w:t xml:space="preserve">. На ежемесячной основе осуществляется мониторинг работы контактного центра, проводится калибровочная сессия с разбором конкретных ситуаций с прослушиванием разговоров.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2.3.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Обслуживание письменных обращений на бумажном носителе В2В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2.3.1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B2B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Провести дополнительное обучение специалистов, участвующих в очном обслуживании клиентов В2В, по работе в системе </w:t>
            </w:r>
            <w:r>
              <w:t xml:space="preserve">CRM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02.05.2024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Повышена </w:t>
            </w:r>
            <w:r>
              <w:rPr>
                <w:highlight w:val="white"/>
                <w:lang w:val="ru-RU"/>
              </w:rPr>
              <w:t xml:space="preserve">компетенция персонала,</w:t>
            </w:r>
            <w:r>
              <w:rPr>
                <w:highlight w:val="white"/>
                <w:lang w:val="ru-RU"/>
              </w:rPr>
              <w:t xml:space="preserve"> осуществляющего очное обслуживание клиентов В2В и работающего в системе CRM</w:t>
            </w:r>
            <w:r>
              <w:rPr>
                <w:highlight w:val="white"/>
                <w:lang w:val="ru-RU"/>
              </w:rPr>
              <w:t xml:space="preserve">.  </w:t>
            </w:r>
            <w:r>
              <w:rPr>
                <w:highlight w:val="white"/>
                <w:lang w:val="ru-RU"/>
              </w:rPr>
              <w:t xml:space="preserve">П</w:t>
            </w:r>
            <w:r>
              <w:rPr>
                <w:highlight w:val="white"/>
                <w:lang w:val="ru-RU"/>
              </w:rPr>
              <w:t xml:space="preserve">роведено обучение персонала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09.04.2024г.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Дополнительно проведено обучение работе с технической и юридической документацией в рамках договорной работы с ЮЛ по реализации электроэнергии и мощности» 13.11.2024г., 20.11.2024г., 23.12.2024г.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2.4.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Обслуживание письменных обращений на бумажном носителе В2С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Развитие сервисов и п</w:t>
            </w:r>
            <w:r>
              <w:rPr>
                <w:highlight w:val="white"/>
                <w:lang w:val="ru-RU"/>
              </w:rPr>
              <w:t xml:space="preserve">овышение удобства</w:t>
            </w:r>
            <w:r>
              <w:rPr>
                <w:highlight w:val="white"/>
                <w:lang w:val="ru-RU"/>
              </w:rPr>
              <w:t xml:space="preserve"> обслуживания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клиентов B2C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  <w:p>
            <w:pPr>
              <w:shd w:val="clear" w:color="auto" w:fill="auto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Организация осуществления регистрации письменных обращений в системе СУВК 2.0.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30.06.2024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  <w14:ligatures w14:val="non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  <w:t xml:space="preserve">В ПАО «Саратовэнерго» выпущен распорядительный документ, </w:t>
            </w:r>
            <w:r>
              <w:rPr>
                <w:highlight w:val="white"/>
                <w:lang w:val="ru-RU"/>
              </w:rPr>
              <w:t xml:space="preserve">в соответствии с которым сотрудники территориальных подразделений </w:t>
            </w:r>
            <w:r>
              <w:rPr>
                <w:highlight w:val="white"/>
                <w:lang w:val="ru-RU"/>
              </w:rPr>
              <w:t xml:space="preserve">осуществляют регистрацию письменных обращений в системе СУВК 2.0.</w:t>
            </w:r>
            <w:r>
              <w:rPr>
                <w:highlight w:val="white"/>
                <w:lang w:val="ru-RU"/>
              </w:rPr>
              <w:t xml:space="preserve"> </w:t>
            </w:r>
            <w:r>
              <w:rPr>
                <w:highlight w:val="white"/>
                <w14:ligatures w14:val="none"/>
              </w:rPr>
            </w:r>
            <w:r>
              <w:rPr>
                <w:highlight w:val="white"/>
                <w14:ligatures w14:val="none"/>
              </w:rPr>
            </w:r>
          </w:p>
        </w:tc>
      </w:tr>
      <w:tr>
        <w:trPr/>
        <w:tblPrEx/>
        <w:tc>
          <w:tcPr>
            <w:tcW w:w="843" w:type="dxa"/>
            <w:shd w:val="clear" w:color="ffffff" w:fill="d9e2f3" w:themeFill="accent1" w:themeFillTint="33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3.</w:t>
            </w:r>
          </w:p>
        </w:tc>
        <w:tc>
          <w:tcPr>
            <w:tcW w:w="14889" w:type="dxa"/>
            <w:gridSpan w:val="4"/>
            <w:shd w:val="clear" w:color="ffffff" w:fill="d9e2f3" w:themeFill="accent1" w:themeFillTint="33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Интерактивное</w:t>
            </w:r>
            <w:r>
              <w:t xml:space="preserve"> </w:t>
            </w:r>
            <w:r>
              <w:t xml:space="preserve">обслуживание</w:t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3.1.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Обслуживание на официальном сайте В2В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3.1.1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B2B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Разместить на официальном сайте ПАО «Саратовэнерго» чат-бота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01.03.2024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  <w:t xml:space="preserve">В рамках договора с ОКЦ, внедрен чат бот на официальном сайте ПАО «Саратовэнерго» с 15.11.2023 года.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2"/>
        </w:trPr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3.2.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Обслуживание на официальном сайте В2С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3.2.1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B2C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Разместить на официальном сайте ПАО «Саратовэнерго» чат-бот в рамках оказания услуг ОКЦ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01.10.2023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Предоставление дополнительного канала коммуникации для клиентов ФЛ. Повышение информированности клиентов ФЛ.</w:t>
            </w:r>
            <w:r>
              <w:rPr>
                <w:highlight w:val="white"/>
                <w:lang w:val="ru-RU"/>
              </w:rPr>
              <w:t xml:space="preserve"> В рамках договора с ОКЦ внедрен чат бот на официальном сайте ПАО «Саратовэнерго» с 15.11.2023 года.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3.2.2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 B2C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Разместить образцы заявлений на сайте Общества для клиентов ФЛ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31.03.2024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shd w:val="clear" w:color="auto" w:fill="auto"/>
              <w:contextualSpacing/>
              <w:jc w:val="both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Повышение информированности клиентов ФЛ.</w:t>
            </w:r>
            <w:r>
              <w:rPr>
                <w:highlight w:val="white"/>
                <w:lang w:val="ru-RU"/>
              </w:rPr>
              <w:t xml:space="preserve"> На официальном сайте ПАО «Саратовэнерго» размещен раздел «образцы типовых заявлений» https://www.saratovenergo.ru/chastnym-litsam/obraztsy-tipovykh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3.3.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Обслуживание в Личном кабинете, в том числе в мобильном приложении В2В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823"/>
        </w:trPr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3.3.1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Развитие сервисов и п</w:t>
            </w:r>
            <w:r>
              <w:rPr>
                <w:highlight w:val="white"/>
                <w:lang w:val="ru-RU"/>
              </w:rPr>
              <w:t xml:space="preserve">овышение </w:t>
            </w:r>
            <w:r>
              <w:rPr>
                <w:lang w:val="ru-RU"/>
              </w:rPr>
              <w:t xml:space="preserve">качества обслуживания клиентов B2B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Необходима доработка ЛКК клиентов В2В функционалом по заключению/изменению договоров энергоснабжения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01.04.2024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Реализован функционал </w:t>
            </w:r>
            <w:r>
              <w:rPr>
                <w:highlight w:val="none"/>
                <w:lang w:val="ru-RU"/>
              </w:rPr>
              <w:t xml:space="preserve">о</w:t>
            </w:r>
            <w:r>
              <w:rPr>
                <w:highlight w:val="white"/>
                <w:lang w:val="ru-RU"/>
              </w:rPr>
              <w:t xml:space="preserve">формления договоров энергоснабжения клиентов ЮЛ с учётом требования ПП РФ от 30.06.2022 г. №1178</w:t>
            </w:r>
            <w:r>
              <w:rPr>
                <w:highlight w:val="white"/>
                <w:lang w:val="ru-RU"/>
              </w:rPr>
              <w:t xml:space="preserve">.</w:t>
            </w:r>
            <w:r>
              <w:rPr>
                <w:highlight w:val="none"/>
                <w:lang w:val="ru-RU"/>
              </w:rPr>
              <w:t xml:space="preserve"> У клиента ЮЛ появилась возможность отслеживания этапов заключения договора через ЛКК ЮЛ, также появилась возможность заключения договора дистанционно без личного обращения в офисы ПАО «Саратовэнерго».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3.3.2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Улучшение качества обслуживания клиентов</w:t>
            </w:r>
            <w:r>
              <w:rPr>
                <w:lang w:val="ru-RU"/>
              </w:rPr>
              <w:t xml:space="preserve"> B2B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Заполнить раздел с часто задаваемыми вопросами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01.0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.2024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  <w:lang w:val="ru-RU"/>
                <w14:ligatures w14:val="none"/>
              </w:rPr>
            </w:pP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  <w:t xml:space="preserve">В раздел «помощь» ЛКК ЮЛ добавлены </w:t>
            </w:r>
            <w:r>
              <w:rPr>
                <w:highlight w:val="white"/>
                <w:lang w:val="ru-RU"/>
              </w:rPr>
              <w:t xml:space="preserve">следующие вопросы: как добавить договор в ЛКК; как добавить новый адрес e-mail для добавления договора; как удалить договор из ранее созданной учетной записи, к которой нет доступа; п</w:t>
            </w:r>
            <w:r>
              <w:rPr>
                <w:highlight w:val="white"/>
                <w:lang w:val="ru-RU"/>
              </w:rPr>
              <w:t xml:space="preserve">очему доступны не все функции/разделы ЛКК.</w:t>
            </w:r>
            <w:r>
              <w:rPr>
                <w:highlight w:val="white"/>
                <w:lang w:val="ru-RU"/>
                <w14:ligatures w14:val="none"/>
              </w:rPr>
            </w:r>
            <w:r>
              <w:rPr>
                <w:highlight w:val="white"/>
                <w:lang w:val="ru-RU"/>
                <w14:ligatures w14:val="none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</w:pPr>
            <w:r>
              <w:t xml:space="preserve">3.4.</w:t>
            </w:r>
          </w:p>
        </w:tc>
        <w:tc>
          <w:tcPr>
            <w:tcW w:w="14889" w:type="dxa"/>
            <w:gridSpan w:val="4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Обслуживание в Личном кабинете, в том числе в мобильном приложении В2С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blPrEx/>
        <w:tc>
          <w:tcPr>
            <w:tcW w:w="84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3.4.1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551" w:type="dxa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Развитие сервисов и п</w:t>
            </w:r>
            <w:r>
              <w:rPr>
                <w:highlight w:val="white"/>
                <w:lang w:val="ru-RU"/>
              </w:rPr>
              <w:t xml:space="preserve">овышение </w:t>
            </w:r>
            <w:r>
              <w:rPr>
                <w:lang w:val="ru-RU"/>
              </w:rPr>
              <w:t xml:space="preserve">качества обслуживания клиентов B2C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281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функционала оформления Договоров энергоснабжения с учётом требования ППРФ от 30.06.2022 г. №1178 в СУВК и ЕЛКК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63" w:type="dxa"/>
            <w:noWrap w:val="false"/>
            <w:textDirection w:val="lrTb"/>
          </w:tcPr>
          <w:p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31.12.2023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094" w:type="dxa"/>
            <w:noWrap w:val="false"/>
            <w:textDirection w:val="lrTb"/>
          </w:tcPr>
          <w:p>
            <w:pPr>
              <w:contextualSpacing/>
              <w:jc w:val="both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 xml:space="preserve">Реализован функционал </w:t>
            </w:r>
            <w:r>
              <w:rPr>
                <w:highlight w:val="none"/>
                <w:lang w:val="ru-RU"/>
              </w:rPr>
              <w:t xml:space="preserve">о</w:t>
            </w:r>
            <w:r>
              <w:rPr>
                <w:highlight w:val="white"/>
                <w:lang w:val="ru-RU"/>
              </w:rPr>
              <w:t xml:space="preserve">формления договоров энергоснабжения клиентов ФЛ с учётом требования ПП РФ от 30.06.2022 г. №1178</w:t>
            </w:r>
            <w:r>
              <w:rPr>
                <w:highlight w:val="white"/>
                <w:lang w:val="ru-RU"/>
              </w:rPr>
              <w:t xml:space="preserve">.</w:t>
            </w:r>
            <w:r>
              <w:rPr>
                <w:highlight w:val="none"/>
                <w:lang w:val="ru-RU"/>
              </w:rPr>
              <w:t xml:space="preserve"> У клиента ФЛ появилась возможность отслеживания этапов заключения договора через ЛКК ФЛ, также появилась возможность заключения договора дистанционно без личного обращения в офисы ПАО «Саратовэнерго».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61"/>
        <w:ind w:left="1080"/>
        <w:jc w:val="both"/>
        <w:rPr>
          <w:b/>
          <w:bCs/>
          <w:lang w:val="ru-RU"/>
        </w:rPr>
      </w:pPr>
      <w:r>
        <w:rPr>
          <w:b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tabs>
          <w:tab w:val="left" w:pos="1134" w:leader="none"/>
        </w:tabs>
        <w:ind w:right="140"/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851" w:right="567" w:bottom="282" w:left="993" w:header="0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Noto Sans Devanagari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0872143"/>
      <w:docPartObj>
        <w:docPartGallery w:val="Page Numbers (Bottom of Page)"/>
        <w:docPartUnique w:val="true"/>
      </w:docPartObj>
      <w:rPr/>
    </w:sdtPr>
    <w:sdtContent>
      <w:p>
        <w:pPr>
          <w:pStyle w:val="86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6</w:t>
        </w:r>
        <w:r>
          <w:fldChar w:fldCharType="end"/>
        </w:r>
      </w:p>
    </w:sdtContent>
  </w:sdt>
  <w:p>
    <w:pPr>
      <w:pStyle w:val="8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pPr w:horzAnchor="margin" w:tblpXSpec="left" w:vertAnchor="text" w:tblpY="181" w:leftFromText="180" w:topFromText="0" w:rightFromText="180" w:bottomFromText="0"/>
      <w:tblW w:w="1524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1526"/>
      <w:gridCol w:w="13714"/>
    </w:tblGrid>
    <w:tr>
      <w:trPr>
        <w:cantSplit/>
        <w:trHeight w:val="88"/>
      </w:trPr>
      <w:tblPrEx/>
      <w:tc>
        <w:tcPr>
          <w:tcW w:w="1526" w:type="dxa"/>
          <w:noWrap w:val="false"/>
          <w:textDirection w:val="lrTb"/>
          <w:vAlign w:val="center"/>
        </w:tcPr>
        <w:p>
          <w:pPr>
            <w:tabs>
              <w:tab w:val="center" w:pos="4153" w:leader="none"/>
              <w:tab w:val="right" w:pos="8306" w:leader="none"/>
            </w:tabs>
            <w:jc w:val="center"/>
            <w:rPr>
              <w:b/>
              <w:bCs/>
              <w:sz w:val="20"/>
              <w:szCs w:val="20"/>
              <w:lang w:val="ru-RU" w:eastAsia="ru-RU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390525" cy="390525"/>
                    <wp:effectExtent l="0" t="0" r="9525" b="9525"/>
                    <wp:docPr id="1" name="Рисунок 25" descr="logo_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logo_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9052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30.75pt;height:30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b/>
              <w:bCs/>
              <w:sz w:val="20"/>
              <w:szCs w:val="20"/>
              <w:lang w:val="ru-RU" w:eastAsia="ru-RU"/>
            </w:rPr>
          </w:r>
          <w:r>
            <w:rPr>
              <w:b/>
              <w:bCs/>
              <w:sz w:val="20"/>
              <w:szCs w:val="20"/>
              <w:lang w:val="ru-RU" w:eastAsia="ru-RU"/>
            </w:rPr>
          </w:r>
        </w:p>
      </w:tc>
      <w:tc>
        <w:tcPr>
          <w:tcW w:w="13714" w:type="dxa"/>
          <w:noWrap w:val="false"/>
          <w:textDirection w:val="lrTb"/>
          <w:vAlign w:val="center"/>
        </w:tcPr>
        <w:p>
          <w:pPr>
            <w:jc w:val="center"/>
            <w:rPr>
              <w:b/>
              <w:bCs/>
              <w:sz w:val="20"/>
              <w:szCs w:val="20"/>
              <w:lang w:val="ru-RU"/>
            </w:rPr>
          </w:pPr>
          <w:r>
            <w:rPr>
              <w:b/>
              <w:bCs/>
              <w:sz w:val="20"/>
              <w:szCs w:val="20"/>
              <w:lang w:val="ru-RU"/>
            </w:rPr>
            <w:t xml:space="preserve">Отчет по Программе мероприятий по повышению качества обслуживания клиентов </w:t>
          </w:r>
          <w:r>
            <w:rPr>
              <w:b/>
              <w:bCs/>
              <w:sz w:val="20"/>
              <w:szCs w:val="20"/>
              <w:lang w:val="ru-RU"/>
            </w:rPr>
            <w:t xml:space="preserve">ПАО «Саратовэнерго»</w:t>
          </w:r>
          <w:r>
            <w:rPr>
              <w:b/>
              <w:bCs/>
              <w:sz w:val="20"/>
              <w:szCs w:val="20"/>
              <w:lang w:val="ru-RU"/>
            </w:rPr>
            <w:t xml:space="preserve"> </w:t>
          </w:r>
          <w:r>
            <w:rPr>
              <w:b/>
              <w:bCs/>
              <w:sz w:val="20"/>
              <w:szCs w:val="20"/>
              <w:lang w:val="ru-RU"/>
            </w:rPr>
            <w:t xml:space="preserve">за </w:t>
          </w:r>
          <w:r>
            <w:rPr>
              <w:b/>
              <w:bCs/>
              <w:sz w:val="20"/>
              <w:szCs w:val="20"/>
              <w:lang w:val="ru-RU"/>
            </w:rPr>
            <w:t xml:space="preserve">2023-</w:t>
          </w:r>
          <w:r>
            <w:rPr>
              <w:b/>
              <w:bCs/>
              <w:sz w:val="20"/>
              <w:szCs w:val="20"/>
              <w:lang w:val="ru-RU"/>
            </w:rPr>
            <w:t xml:space="preserve">202</w:t>
          </w:r>
          <w:r>
            <w:rPr>
              <w:b/>
              <w:bCs/>
              <w:sz w:val="20"/>
              <w:szCs w:val="20"/>
              <w:lang w:val="ru-RU"/>
            </w:rPr>
            <w:t xml:space="preserve">4</w:t>
          </w:r>
          <w:r>
            <w:rPr>
              <w:b/>
              <w:bCs/>
              <w:sz w:val="20"/>
              <w:szCs w:val="20"/>
              <w:lang w:val="ru-RU"/>
            </w:rPr>
            <w:t xml:space="preserve"> год</w:t>
          </w:r>
          <w:r>
            <w:rPr>
              <w:b/>
              <w:bCs/>
              <w:sz w:val="20"/>
              <w:szCs w:val="20"/>
              <w:lang w:val="ru-RU"/>
            </w:rPr>
          </w:r>
          <w:r>
            <w:rPr>
              <w:b/>
              <w:bCs/>
              <w:sz w:val="20"/>
              <w:szCs w:val="20"/>
              <w:lang w:val="ru-RU"/>
            </w:rPr>
          </w:r>
        </w:p>
      </w:tc>
    </w:tr>
  </w:tbl>
  <w:p>
    <w:pPr>
      <w:pStyle w:val="866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tabs>
          <w:tab w:val="num" w:pos="0" w:leader="none"/>
        </w:tabs>
        <w:ind w:left="171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4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315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87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5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31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603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7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470" w:hanging="360"/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1429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869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589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029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749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189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2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tabs>
          <w:tab w:val="num" w:pos="0" w:leader="none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0" w:leader="none"/>
        </w:tabs>
        <w:ind w:left="180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324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96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40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612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56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tabs>
          <w:tab w:val="num" w:pos="0" w:leader="none"/>
        </w:tabs>
        <w:ind w:left="1485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925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645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085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805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245" w:hanging="360"/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tabs>
          <w:tab w:val="num" w:pos="0" w:leader="none"/>
        </w:tabs>
        <w:ind w:left="135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0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79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51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2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95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67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3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110" w:hanging="360"/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tabs>
          <w:tab w:val="num" w:pos="0" w:leader="none"/>
        </w:tabs>
        <w:ind w:left="144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200" w:hanging="360"/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tabs>
          <w:tab w:val="num" w:pos="720" w:leader="none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"/>
      <w:lvlJc w:val="left"/>
      <w:pPr>
        <w:tabs>
          <w:tab w:val="num" w:pos="1440" w:leader="none"/>
        </w:tabs>
        <w:ind w:left="1440" w:hanging="360"/>
      </w:pPr>
      <w:rPr>
        <w:rFonts w:hint="default" w:ascii="Wingdings" w:hAnsi="Wingdings" w:cs="Wingdings"/>
      </w:rPr>
    </w:lvl>
    <w:lvl w:ilvl="2">
      <w:start w:val="1"/>
      <w:numFmt w:val="bullet"/>
      <w:isLgl w:val="false"/>
      <w:suff w:val="tab"/>
      <w:lvlText w:val="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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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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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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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tabs>
          <w:tab w:val="num" w:pos="0" w:leader="none"/>
        </w:tabs>
        <w:ind w:left="1429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869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589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029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749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189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-720" w:leader="none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840" w:hanging="360"/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1429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869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589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029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749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189" w:hanging="360"/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171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4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315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87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5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31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603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7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470" w:hanging="360"/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135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0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79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51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2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95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67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3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110" w:hanging="360"/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0" w:leader="none"/>
        </w:tabs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7200" w:hanging="360"/>
      </w:pPr>
      <w:rPr>
        <w:rFonts w:hint="default" w:ascii="Wingdings" w:hAnsi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84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1"/>
  </w:num>
  <w:num w:numId="5">
    <w:abstractNumId w:val="6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 w:numId="15">
    <w:abstractNumId w:val="8"/>
  </w:num>
  <w:num w:numId="16">
    <w:abstractNumId w:val="10"/>
  </w:num>
  <w:num w:numId="17">
    <w:abstractNumId w:val="12"/>
  </w:num>
  <w:num w:numId="18">
    <w:abstractNumId w:val="9"/>
  </w:num>
  <w:num w:numId="19">
    <w:abstractNumId w:val="16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 w:default="1">
    <w:name w:val="Normal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780">
    <w:name w:val="Heading 1"/>
    <w:basedOn w:val="779"/>
    <w:next w:val="779"/>
    <w:link w:val="87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1">
    <w:name w:val="Heading 2"/>
    <w:basedOn w:val="779"/>
    <w:next w:val="779"/>
    <w:link w:val="80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2">
    <w:name w:val="Heading 3"/>
    <w:basedOn w:val="779"/>
    <w:next w:val="779"/>
    <w:link w:val="87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3">
    <w:name w:val="Heading 4"/>
    <w:basedOn w:val="779"/>
    <w:next w:val="779"/>
    <w:link w:val="8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779"/>
    <w:next w:val="779"/>
    <w:link w:val="87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5">
    <w:name w:val="Heading 6"/>
    <w:basedOn w:val="779"/>
    <w:next w:val="779"/>
    <w:link w:val="81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779"/>
    <w:next w:val="779"/>
    <w:link w:val="81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81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779"/>
    <w:next w:val="779"/>
    <w:link w:val="81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Heading 1 Char"/>
    <w:basedOn w:val="789"/>
    <w:uiPriority w:val="9"/>
    <w:qFormat/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89"/>
    <w:uiPriority w:val="9"/>
    <w:qFormat/>
    <w:rPr>
      <w:rFonts w:ascii="Arial" w:hAnsi="Arial" w:eastAsia="Arial" w:cs="Arial"/>
      <w:sz w:val="34"/>
    </w:rPr>
  </w:style>
  <w:style w:type="character" w:styleId="794" w:customStyle="1">
    <w:name w:val="Heading 3 Char"/>
    <w:basedOn w:val="789"/>
    <w:uiPriority w:val="9"/>
    <w:qFormat/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8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8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8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8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8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Subtitle Char"/>
    <w:basedOn w:val="789"/>
    <w:uiPriority w:val="11"/>
    <w:qFormat/>
    <w:rPr>
      <w:sz w:val="24"/>
      <w:szCs w:val="24"/>
    </w:rPr>
  </w:style>
  <w:style w:type="character" w:styleId="802" w:customStyle="1">
    <w:name w:val="Quote Char"/>
    <w:uiPriority w:val="29"/>
    <w:qFormat/>
    <w:rPr>
      <w:i/>
    </w:rPr>
  </w:style>
  <w:style w:type="character" w:styleId="803" w:customStyle="1">
    <w:name w:val="Intense Quote Char"/>
    <w:uiPriority w:val="30"/>
    <w:qFormat/>
    <w:rPr>
      <w:i/>
    </w:rPr>
  </w:style>
  <w:style w:type="character" w:styleId="804" w:customStyle="1">
    <w:name w:val="Footnote Text Char"/>
    <w:uiPriority w:val="99"/>
    <w:qFormat/>
    <w:rPr>
      <w:sz w:val="18"/>
    </w:rPr>
  </w:style>
  <w:style w:type="character" w:styleId="805" w:customStyle="1">
    <w:name w:val="Endnote Text Char"/>
    <w:uiPriority w:val="99"/>
    <w:qFormat/>
    <w:rPr>
      <w:sz w:val="20"/>
    </w:rPr>
  </w:style>
  <w:style w:type="character" w:styleId="806" w:customStyle="1">
    <w:name w:val="Заголовок 1 Знак"/>
    <w:basedOn w:val="789"/>
    <w:uiPriority w:val="9"/>
    <w:qFormat/>
    <w:rPr>
      <w:rFonts w:ascii="Arial" w:hAnsi="Arial" w:eastAsia="Arial" w:cs="Arial"/>
      <w:sz w:val="40"/>
      <w:szCs w:val="40"/>
    </w:rPr>
  </w:style>
  <w:style w:type="character" w:styleId="807" w:customStyle="1">
    <w:name w:val="Заголовок 2 Знак"/>
    <w:basedOn w:val="789"/>
    <w:link w:val="781"/>
    <w:uiPriority w:val="9"/>
    <w:qFormat/>
    <w:rPr>
      <w:rFonts w:ascii="Arial" w:hAnsi="Arial" w:eastAsia="Arial" w:cs="Arial"/>
      <w:sz w:val="34"/>
    </w:rPr>
  </w:style>
  <w:style w:type="character" w:styleId="808" w:customStyle="1">
    <w:name w:val="Заголовок 3 Знак"/>
    <w:basedOn w:val="789"/>
    <w:uiPriority w:val="9"/>
    <w:qFormat/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basedOn w:val="78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basedOn w:val="78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basedOn w:val="789"/>
    <w:link w:val="78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basedOn w:val="789"/>
    <w:link w:val="7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basedOn w:val="789"/>
    <w:link w:val="78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basedOn w:val="789"/>
    <w:link w:val="78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5" w:customStyle="1">
    <w:name w:val="Title Char"/>
    <w:basedOn w:val="789"/>
    <w:uiPriority w:val="10"/>
    <w:qFormat/>
    <w:rPr>
      <w:sz w:val="48"/>
      <w:szCs w:val="48"/>
    </w:rPr>
  </w:style>
  <w:style w:type="character" w:styleId="816" w:customStyle="1">
    <w:name w:val="Подзаголовок Знак"/>
    <w:basedOn w:val="789"/>
    <w:link w:val="845"/>
    <w:uiPriority w:val="11"/>
    <w:qFormat/>
    <w:rPr>
      <w:sz w:val="24"/>
      <w:szCs w:val="24"/>
    </w:rPr>
  </w:style>
  <w:style w:type="character" w:styleId="817" w:customStyle="1">
    <w:name w:val="Цитата 2 Знак"/>
    <w:link w:val="846"/>
    <w:uiPriority w:val="29"/>
    <w:qFormat/>
    <w:rPr>
      <w:i/>
    </w:rPr>
  </w:style>
  <w:style w:type="character" w:styleId="818" w:customStyle="1">
    <w:name w:val="Выделенная цитата Знак"/>
    <w:link w:val="847"/>
    <w:uiPriority w:val="30"/>
    <w:qFormat/>
    <w:rPr>
      <w:i/>
    </w:rPr>
  </w:style>
  <w:style w:type="character" w:styleId="819" w:customStyle="1">
    <w:name w:val="Header Char"/>
    <w:basedOn w:val="789"/>
    <w:uiPriority w:val="99"/>
    <w:qFormat/>
  </w:style>
  <w:style w:type="character" w:styleId="820" w:customStyle="1">
    <w:name w:val="Footer Char"/>
    <w:basedOn w:val="789"/>
    <w:uiPriority w:val="99"/>
    <w:qFormat/>
  </w:style>
  <w:style w:type="character" w:styleId="821" w:customStyle="1">
    <w:name w:val="Caption Char"/>
    <w:uiPriority w:val="99"/>
    <w:qFormat/>
  </w:style>
  <w:style w:type="character" w:styleId="822" w:customStyle="1">
    <w:name w:val="Текст сноски Знак"/>
    <w:link w:val="848"/>
    <w:uiPriority w:val="99"/>
    <w:qFormat/>
    <w:rPr>
      <w:sz w:val="18"/>
    </w:rPr>
  </w:style>
  <w:style w:type="character" w:styleId="823" w:customStyle="1">
    <w:name w:val="Символ сноски"/>
    <w:basedOn w:val="789"/>
    <w:uiPriority w:val="99"/>
    <w:unhideWhenUsed/>
    <w:qFormat/>
    <w:rPr>
      <w:vertAlign w:val="superscript"/>
    </w:rPr>
  </w:style>
  <w:style w:type="character" w:styleId="824">
    <w:name w:val="footnote reference"/>
    <w:rPr>
      <w:vertAlign w:val="superscript"/>
    </w:rPr>
  </w:style>
  <w:style w:type="character" w:styleId="825" w:customStyle="1">
    <w:name w:val="Текст концевой сноски Знак"/>
    <w:link w:val="849"/>
    <w:uiPriority w:val="99"/>
    <w:qFormat/>
    <w:rPr>
      <w:sz w:val="20"/>
    </w:rPr>
  </w:style>
  <w:style w:type="character" w:styleId="826" w:customStyle="1">
    <w:name w:val="Символ концевой сноски"/>
    <w:basedOn w:val="789"/>
    <w:uiPriority w:val="99"/>
    <w:semiHidden/>
    <w:unhideWhenUsed/>
    <w:qFormat/>
    <w:rPr>
      <w:vertAlign w:val="superscript"/>
    </w:rPr>
  </w:style>
  <w:style w:type="character" w:styleId="827">
    <w:name w:val="endnote reference"/>
    <w:rPr>
      <w:vertAlign w:val="superscript"/>
    </w:rPr>
  </w:style>
  <w:style w:type="character" w:styleId="828" w:customStyle="1">
    <w:name w:val="Абзац списка Знак"/>
    <w:basedOn w:val="789"/>
    <w:link w:val="861"/>
    <w:uiPriority w:val="34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829" w:customStyle="1">
    <w:name w:val="Заголовок Знак"/>
    <w:basedOn w:val="789"/>
    <w:link w:val="839"/>
    <w:qFormat/>
    <w:rPr>
      <w:rFonts w:ascii="Times New Roman" w:hAnsi="Times New Roman" w:eastAsia="Times New Roman" w:cs="Times New Roman"/>
      <w:bCs/>
      <w:color w:val="000000"/>
      <w:sz w:val="36"/>
      <w:szCs w:val="20"/>
      <w:lang w:eastAsia="ru-RU"/>
    </w:rPr>
  </w:style>
  <w:style w:type="character" w:styleId="830">
    <w:name w:val="Strong"/>
    <w:basedOn w:val="789"/>
    <w:uiPriority w:val="22"/>
    <w:qFormat/>
    <w:rPr>
      <w:b/>
      <w:bCs/>
    </w:rPr>
  </w:style>
  <w:style w:type="character" w:styleId="831" w:customStyle="1">
    <w:name w:val="header-phone__caption"/>
    <w:basedOn w:val="789"/>
    <w:qFormat/>
  </w:style>
  <w:style w:type="character" w:styleId="832">
    <w:name w:val="Hyperlink"/>
    <w:basedOn w:val="789"/>
    <w:uiPriority w:val="99"/>
    <w:unhideWhenUsed/>
    <w:rPr>
      <w:color w:val="0000ff"/>
      <w:u w:val="single"/>
    </w:rPr>
  </w:style>
  <w:style w:type="character" w:styleId="833" w:customStyle="1">
    <w:name w:val="Неразрешенное упоминание1"/>
    <w:basedOn w:val="789"/>
    <w:uiPriority w:val="99"/>
    <w:semiHidden/>
    <w:unhideWhenUsed/>
    <w:qFormat/>
    <w:rPr>
      <w:color w:val="605e5c"/>
      <w:shd w:val="clear" w:color="auto" w:fill="e1dfdd"/>
    </w:rPr>
  </w:style>
  <w:style w:type="character" w:styleId="834" w:customStyle="1">
    <w:name w:val="Текст выноски Знак"/>
    <w:basedOn w:val="789"/>
    <w:link w:val="864"/>
    <w:uiPriority w:val="99"/>
    <w:semiHidden/>
    <w:qFormat/>
    <w:rPr>
      <w:rFonts w:ascii="Segoe UI" w:hAnsi="Segoe UI" w:eastAsia="Times New Roman" w:cs="Segoe UI"/>
      <w:sz w:val="18"/>
      <w:szCs w:val="18"/>
      <w:lang w:val="en-US"/>
    </w:rPr>
  </w:style>
  <w:style w:type="character" w:styleId="835">
    <w:name w:val="line number"/>
    <w:basedOn w:val="789"/>
    <w:uiPriority w:val="99"/>
    <w:semiHidden/>
    <w:unhideWhenUsed/>
    <w:qFormat/>
  </w:style>
  <w:style w:type="character" w:styleId="836" w:customStyle="1">
    <w:name w:val="Верхний колонтитул Знак"/>
    <w:basedOn w:val="789"/>
    <w:link w:val="866"/>
    <w:uiPriority w:val="99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837" w:customStyle="1">
    <w:name w:val="Нижний колонтитул Знак"/>
    <w:basedOn w:val="789"/>
    <w:link w:val="867"/>
    <w:uiPriority w:val="99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838">
    <w:name w:val="Unresolved Mention"/>
    <w:basedOn w:val="789"/>
    <w:uiPriority w:val="99"/>
    <w:semiHidden/>
    <w:unhideWhenUsed/>
    <w:qFormat/>
    <w:rPr>
      <w:color w:val="605e5c"/>
      <w:shd w:val="clear" w:color="auto" w:fill="e1dfdd"/>
    </w:rPr>
  </w:style>
  <w:style w:type="paragraph" w:styleId="839">
    <w:name w:val="Title"/>
    <w:basedOn w:val="779"/>
    <w:next w:val="840"/>
    <w:link w:val="829"/>
    <w:qFormat/>
    <w:pPr>
      <w:spacing w:line="240" w:lineRule="atLeast"/>
      <w:jc w:val="center"/>
    </w:pPr>
    <w:rPr>
      <w:bCs/>
      <w:color w:val="000000"/>
      <w:sz w:val="36"/>
      <w:szCs w:val="20"/>
      <w:lang w:val="ru-RU" w:eastAsia="ru-RU"/>
    </w:rPr>
  </w:style>
  <w:style w:type="paragraph" w:styleId="840">
    <w:name w:val="Body Text"/>
    <w:basedOn w:val="779"/>
    <w:pPr>
      <w:spacing w:after="140" w:line="276" w:lineRule="auto"/>
    </w:pPr>
  </w:style>
  <w:style w:type="paragraph" w:styleId="841">
    <w:name w:val="List"/>
    <w:basedOn w:val="840"/>
    <w:rPr>
      <w:rFonts w:ascii="PT Astra Serif" w:hAnsi="PT Astra Serif" w:cs="Noto Sans Devanagari"/>
    </w:rPr>
  </w:style>
  <w:style w:type="paragraph" w:styleId="842">
    <w:name w:val="Caption"/>
    <w:basedOn w:val="779"/>
    <w:next w:val="77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843">
    <w:name w:val="index heading"/>
    <w:basedOn w:val="839"/>
  </w:style>
  <w:style w:type="paragraph" w:styleId="844">
    <w:name w:val="No Spacing"/>
    <w:uiPriority w:val="1"/>
    <w:qFormat/>
  </w:style>
  <w:style w:type="paragraph" w:styleId="845">
    <w:name w:val="Subtitle"/>
    <w:basedOn w:val="779"/>
    <w:next w:val="779"/>
    <w:link w:val="816"/>
    <w:uiPriority w:val="11"/>
    <w:qFormat/>
    <w:pPr>
      <w:spacing w:before="200" w:after="200"/>
    </w:pPr>
  </w:style>
  <w:style w:type="paragraph" w:styleId="846">
    <w:name w:val="Quote"/>
    <w:basedOn w:val="779"/>
    <w:next w:val="779"/>
    <w:link w:val="817"/>
    <w:uiPriority w:val="29"/>
    <w:qFormat/>
    <w:pPr>
      <w:ind w:left="720" w:right="720"/>
    </w:pPr>
    <w:rPr>
      <w:i/>
    </w:rPr>
  </w:style>
  <w:style w:type="paragraph" w:styleId="847">
    <w:name w:val="Intense Quote"/>
    <w:basedOn w:val="779"/>
    <w:next w:val="779"/>
    <w:link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848">
    <w:name w:val="footnote text"/>
    <w:basedOn w:val="779"/>
    <w:link w:val="822"/>
    <w:uiPriority w:val="99"/>
    <w:semiHidden/>
    <w:unhideWhenUsed/>
    <w:pPr>
      <w:spacing w:after="40"/>
    </w:pPr>
    <w:rPr>
      <w:sz w:val="18"/>
    </w:rPr>
  </w:style>
  <w:style w:type="paragraph" w:styleId="849">
    <w:name w:val="endnote text"/>
    <w:basedOn w:val="779"/>
    <w:link w:val="825"/>
    <w:uiPriority w:val="99"/>
    <w:semiHidden/>
    <w:unhideWhenUsed/>
    <w:rPr>
      <w:sz w:val="20"/>
    </w:rPr>
  </w:style>
  <w:style w:type="paragraph" w:styleId="850">
    <w:name w:val="toc 1"/>
    <w:basedOn w:val="779"/>
    <w:next w:val="779"/>
    <w:uiPriority w:val="39"/>
    <w:unhideWhenUsed/>
    <w:pPr>
      <w:spacing w:after="57"/>
    </w:pPr>
  </w:style>
  <w:style w:type="paragraph" w:styleId="851">
    <w:name w:val="toc 2"/>
    <w:basedOn w:val="779"/>
    <w:next w:val="779"/>
    <w:uiPriority w:val="39"/>
    <w:unhideWhenUsed/>
    <w:pPr>
      <w:spacing w:after="57"/>
      <w:ind w:left="283"/>
    </w:pPr>
  </w:style>
  <w:style w:type="paragraph" w:styleId="852">
    <w:name w:val="toc 3"/>
    <w:basedOn w:val="779"/>
    <w:next w:val="779"/>
    <w:uiPriority w:val="39"/>
    <w:unhideWhenUsed/>
    <w:pPr>
      <w:spacing w:after="57"/>
      <w:ind w:left="567"/>
    </w:pPr>
  </w:style>
  <w:style w:type="paragraph" w:styleId="853">
    <w:name w:val="toc 4"/>
    <w:basedOn w:val="779"/>
    <w:next w:val="779"/>
    <w:uiPriority w:val="39"/>
    <w:unhideWhenUsed/>
    <w:pPr>
      <w:spacing w:after="57"/>
      <w:ind w:left="850"/>
    </w:pPr>
  </w:style>
  <w:style w:type="paragraph" w:styleId="854">
    <w:name w:val="toc 5"/>
    <w:basedOn w:val="779"/>
    <w:next w:val="779"/>
    <w:uiPriority w:val="39"/>
    <w:unhideWhenUsed/>
    <w:pPr>
      <w:spacing w:after="57"/>
      <w:ind w:left="1134"/>
    </w:pPr>
  </w:style>
  <w:style w:type="paragraph" w:styleId="855">
    <w:name w:val="toc 6"/>
    <w:basedOn w:val="779"/>
    <w:next w:val="779"/>
    <w:uiPriority w:val="39"/>
    <w:unhideWhenUsed/>
    <w:pPr>
      <w:spacing w:after="57"/>
      <w:ind w:left="1417"/>
    </w:pPr>
  </w:style>
  <w:style w:type="paragraph" w:styleId="856">
    <w:name w:val="toc 7"/>
    <w:basedOn w:val="779"/>
    <w:next w:val="779"/>
    <w:uiPriority w:val="39"/>
    <w:unhideWhenUsed/>
    <w:pPr>
      <w:spacing w:after="57"/>
      <w:ind w:left="1701"/>
    </w:pPr>
  </w:style>
  <w:style w:type="paragraph" w:styleId="857">
    <w:name w:val="toc 8"/>
    <w:basedOn w:val="779"/>
    <w:next w:val="779"/>
    <w:uiPriority w:val="39"/>
    <w:unhideWhenUsed/>
    <w:pPr>
      <w:spacing w:after="57"/>
      <w:ind w:left="1984"/>
    </w:pPr>
  </w:style>
  <w:style w:type="paragraph" w:styleId="858">
    <w:name w:val="toc 9"/>
    <w:basedOn w:val="779"/>
    <w:next w:val="779"/>
    <w:uiPriority w:val="39"/>
    <w:unhideWhenUsed/>
    <w:pPr>
      <w:spacing w:after="57"/>
      <w:ind w:left="2268"/>
    </w:pPr>
  </w:style>
  <w:style w:type="paragraph" w:styleId="859">
    <w:name w:val="TOC Heading"/>
    <w:uiPriority w:val="39"/>
    <w:unhideWhenUsed/>
    <w:pPr>
      <w:spacing w:after="160" w:line="259" w:lineRule="auto"/>
    </w:pPr>
  </w:style>
  <w:style w:type="paragraph" w:styleId="860">
    <w:name w:val="table of figures"/>
    <w:basedOn w:val="779"/>
    <w:next w:val="779"/>
    <w:uiPriority w:val="99"/>
    <w:unhideWhenUsed/>
    <w:qFormat/>
  </w:style>
  <w:style w:type="paragraph" w:styleId="861">
    <w:name w:val="List Paragraph"/>
    <w:basedOn w:val="779"/>
    <w:link w:val="828"/>
    <w:uiPriority w:val="34"/>
    <w:qFormat/>
    <w:pPr>
      <w:ind w:left="720"/>
      <w:contextualSpacing/>
    </w:pPr>
  </w:style>
  <w:style w:type="paragraph" w:styleId="862">
    <w:name w:val="Normal (Web)"/>
    <w:basedOn w:val="779"/>
    <w:uiPriority w:val="99"/>
    <w:unhideWhenUsed/>
    <w:qFormat/>
    <w:rPr>
      <w:lang w:val="ru-RU" w:eastAsia="ru-RU"/>
    </w:rPr>
  </w:style>
  <w:style w:type="paragraph" w:styleId="863" w:customStyle="1">
    <w:name w:val="header-phone"/>
    <w:basedOn w:val="779"/>
    <w:qFormat/>
    <w:pPr>
      <w:spacing w:beforeAutospacing="1" w:afterAutospacing="1"/>
    </w:pPr>
    <w:rPr>
      <w:lang w:val="ru-RU" w:eastAsia="ru-RU"/>
    </w:rPr>
  </w:style>
  <w:style w:type="paragraph" w:styleId="864">
    <w:name w:val="Balloon Text"/>
    <w:basedOn w:val="779"/>
    <w:link w:val="83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65" w:customStyle="1">
    <w:name w:val="Колонтитул"/>
    <w:basedOn w:val="779"/>
    <w:qFormat/>
  </w:style>
  <w:style w:type="paragraph" w:styleId="866">
    <w:name w:val="Header"/>
    <w:basedOn w:val="779"/>
    <w:link w:val="8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67">
    <w:name w:val="Footer"/>
    <w:basedOn w:val="779"/>
    <w:link w:val="83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68">
    <w:name w:val="Revision"/>
    <w:uiPriority w:val="99"/>
    <w:semiHidden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869" w:customStyle="1">
    <w:name w:val="Table Grid Light"/>
    <w:basedOn w:val="79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0">
    <w:name w:val="Plain Table 1"/>
    <w:basedOn w:val="790"/>
    <w:link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1">
    <w:name w:val="Plain Table 2"/>
    <w:basedOn w:val="79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72">
    <w:name w:val="Plain Table 3"/>
    <w:basedOn w:val="790"/>
    <w:link w:val="78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3">
    <w:name w:val="Plain Table 4"/>
    <w:basedOn w:val="790"/>
    <w:link w:val="78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Plain Table 5"/>
    <w:basedOn w:val="790"/>
    <w:link w:val="78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5">
    <w:name w:val="Grid Table 1 Light"/>
    <w:basedOn w:val="79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1"/>
    <w:basedOn w:val="79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5"/>
    <w:basedOn w:val="79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2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3" w:customStyle="1">
    <w:name w:val="Grid Table 2 - Accent 1"/>
    <w:basedOn w:val="79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4" w:customStyle="1">
    <w:name w:val="Grid Table 2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5" w:customStyle="1">
    <w:name w:val="Grid Table 2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6" w:customStyle="1">
    <w:name w:val="Grid Table 2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7" w:customStyle="1">
    <w:name w:val="Grid Table 2 - Accent 5"/>
    <w:basedOn w:val="79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8" w:customStyle="1">
    <w:name w:val="Grid Table 2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9">
    <w:name w:val="Grid Table 3"/>
    <w:basedOn w:val="79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0" w:customStyle="1">
    <w:name w:val="Grid Table 3 - Accent 1"/>
    <w:basedOn w:val="790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1" w:customStyle="1">
    <w:name w:val="Grid Table 3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2" w:customStyle="1">
    <w:name w:val="Grid Table 3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3" w:customStyle="1">
    <w:name w:val="Grid Table 3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4" w:customStyle="1">
    <w:name w:val="Grid Table 3 - Accent 5"/>
    <w:basedOn w:val="790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5" w:customStyle="1">
    <w:name w:val="Grid Table 3 - Accent 6"/>
    <w:basedOn w:val="79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6">
    <w:name w:val="Grid Table 4"/>
    <w:basedOn w:val="79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7" w:customStyle="1">
    <w:name w:val="Grid Table 4 - Accent 1"/>
    <w:basedOn w:val="790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ae3f3" w:fill="dae3f3" w:themeFill="accent1" w:themeFillTint="32"/>
      </w:tcPr>
    </w:tblStylePr>
    <w:tblStylePr w:type="band1Vert">
      <w:rPr>
        <w:color w:val="404040"/>
        <w:sz w:val="22"/>
      </w:rPr>
      <w:tcPr>
        <w:shd w:val="clear" w:color="dae3f3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</w:tcBorders>
      </w:tcPr>
    </w:tblStylePr>
  </w:style>
  <w:style w:type="table" w:styleId="898" w:customStyle="1">
    <w:name w:val="Grid Table 4 - Accent 2"/>
    <w:basedOn w:val="79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99" w:customStyle="1">
    <w:name w:val="Grid Table 4 - Accent 3"/>
    <w:basedOn w:val="79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00" w:customStyle="1">
    <w:name w:val="Grid Table 4 - Accent 4"/>
    <w:basedOn w:val="79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01" w:customStyle="1">
    <w:name w:val="Grid Table 4 - Accent 5"/>
    <w:basedOn w:val="790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02" w:customStyle="1">
    <w:name w:val="Grid Table 4 - Accent 6"/>
    <w:basedOn w:val="79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3">
    <w:name w:val="Grid Table 5 Dark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styleId="904" w:customStyle="1">
    <w:name w:val="Grid Table 5 Dark- Accent 1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1" w:themeFillTint="75"/>
      </w:tcPr>
    </w:tblStylePr>
    <w:tblStylePr w:type="band1Vert">
      <w:tcPr>
        <w:shd w:val="clear" w:color="a9bee4" w:fill="a9bee4" w:themeFill="accent1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1"/>
      </w:tc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</w:style>
  <w:style w:type="table" w:styleId="905" w:customStyle="1">
    <w:name w:val="Grid Table 5 Dark - Accent 2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styleId="906" w:customStyle="1">
    <w:name w:val="Grid Table 5 Dark - Accent 3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styleId="907" w:customStyle="1">
    <w:name w:val="Grid Table 5 Dark- Accent 4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styleId="908" w:customStyle="1">
    <w:name w:val="Grid Table 5 Dark - Accent 5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5" w:themeFillTint="75"/>
      </w:tcPr>
    </w:tblStylePr>
    <w:tblStylePr w:type="band1Vert">
      <w:tcPr>
        <w:shd w:val="clear" w:color="b3d0eb" w:fill="b3d0eb" w:themeFill="accent5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5"/>
      </w:tcPr>
    </w:tblStyle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</w:style>
  <w:style w:type="table" w:styleId="909" w:customStyle="1">
    <w:name w:val="Grid Table 5 Dark - Accent 6"/>
    <w:basedOn w:val="7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910">
    <w:name w:val="Grid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1" w:customStyle="1">
    <w:name w:val="Grid Table 6 Colorful - Accent 1"/>
    <w:basedOn w:val="790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1Vert"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2" w:customStyle="1">
    <w:name w:val="Grid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3" w:customStyle="1">
    <w:name w:val="Grid Table 6 Colorful - Accent 3"/>
    <w:basedOn w:val="79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4" w:customStyle="1">
    <w:name w:val="Grid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5" w:customStyle="1">
    <w:name w:val="Grid Table 6 Colorful - Accent 5"/>
    <w:basedOn w:val="790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1Vert"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16" w:customStyle="1">
    <w:name w:val="Grid Table 6 Colorful - Accent 6"/>
    <w:basedOn w:val="79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17">
    <w:name w:val="Grid Table 7 Colorful"/>
    <w:basedOn w:val="79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8" w:customStyle="1">
    <w:name w:val="Grid Table 7 Colorful - Accent 1"/>
    <w:basedOn w:val="790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1Vert"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rPr>
        <w:b/>
        <w:color w:val="a0b7e1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0b7e1" w:themeColor="accent1" w:themeTint="80" w:themeShade="95"/>
        <w:sz w:val="22"/>
      </w:rPr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0b7e1" w:themeColor="accent1" w:themeTint="80" w:themeShade="95"/>
        <w:sz w:val="22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9" w:customStyle="1">
    <w:name w:val="Grid Table 7 Colorful - Accent 2"/>
    <w:basedOn w:val="79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0" w:customStyle="1">
    <w:name w:val="Grid Table 7 Colorful - Accent 3"/>
    <w:basedOn w:val="79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1" w:customStyle="1">
    <w:name w:val="Grid Table 7 Colorful - Accent 4"/>
    <w:basedOn w:val="79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2" w:customStyle="1">
    <w:name w:val="Grid Table 7 Colorful - Accent 5"/>
    <w:basedOn w:val="790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1Vert"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firstRow">
      <w:rPr>
        <w:b/>
        <w:color w:val="245a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a8d" w:themeColor="accent5" w:themeShade="95"/>
        <w:sz w:val="22"/>
      </w:rPr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45a8d" w:themeColor="accent5" w:themeShade="95"/>
        <w:sz w:val="22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3" w:customStyle="1">
    <w:name w:val="Grid Table 7 Colorful - Accent 6"/>
    <w:basedOn w:val="79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4">
    <w:name w:val="List Table 1 Light"/>
    <w:basedOn w:val="790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1"/>
    <w:basedOn w:val="790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2"/>
    <w:basedOn w:val="790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3"/>
    <w:basedOn w:val="790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4"/>
    <w:basedOn w:val="790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5"/>
    <w:basedOn w:val="790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6"/>
    <w:basedOn w:val="790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2"/>
    <w:basedOn w:val="79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2" w:customStyle="1">
    <w:name w:val="List Table 2 - Accent 1"/>
    <w:basedOn w:val="790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</w:style>
  <w:style w:type="table" w:styleId="933" w:customStyle="1">
    <w:name w:val="List Table 2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34" w:customStyle="1">
    <w:name w:val="List Table 2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35" w:customStyle="1">
    <w:name w:val="List Table 2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36" w:customStyle="1">
    <w:name w:val="List Table 2 - Accent 5"/>
    <w:basedOn w:val="790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</w:style>
  <w:style w:type="table" w:styleId="937" w:customStyle="1">
    <w:name w:val="List Table 2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38">
    <w:name w:val="List Table 3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1"/>
    <w:basedOn w:val="790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c2e5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"/>
    <w:basedOn w:val="7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1"/>
    <w:basedOn w:val="790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2"/>
    <w:basedOn w:val="79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3"/>
    <w:basedOn w:val="79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4"/>
    <w:basedOn w:val="79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5"/>
    <w:basedOn w:val="790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6"/>
    <w:basedOn w:val="79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5 Dark"/>
    <w:basedOn w:val="79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3" w:customStyle="1">
    <w:name w:val="List Table 5 Dark - Accent 1"/>
    <w:basedOn w:val="790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4" w:customStyle="1">
    <w:name w:val="List Table 5 Dark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5" w:customStyle="1">
    <w:name w:val="List Table 5 Dark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6" w:customStyle="1">
    <w:name w:val="List Table 5 Dark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7" w:customStyle="1">
    <w:name w:val="List Table 5 Dark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8" w:customStyle="1">
    <w:name w:val="List Table 5 Dark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>
    <w:name w:val="List Table 6 Colorful"/>
    <w:basedOn w:val="79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0" w:customStyle="1">
    <w:name w:val="List Table 6 Colorful - Accent 1"/>
    <w:basedOn w:val="790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61" w:customStyle="1">
    <w:name w:val="List Table 6 Colorful - Accent 2"/>
    <w:basedOn w:val="79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62" w:customStyle="1">
    <w:name w:val="List Table 6 Colorful - Accent 3"/>
    <w:basedOn w:val="79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63" w:customStyle="1">
    <w:name w:val="List Table 6 Colorful - Accent 4"/>
    <w:basedOn w:val="79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64" w:customStyle="1">
    <w:name w:val="List Table 6 Colorful - Accent 5"/>
    <w:basedOn w:val="790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themeColor="accent5" w:sz="4" w:space="0"/>
        </w:tcBorders>
      </w:tcPr>
    </w:tblStylePr>
  </w:style>
  <w:style w:type="table" w:styleId="965" w:customStyle="1">
    <w:name w:val="List Table 6 Colorful - Accent 6"/>
    <w:basedOn w:val="79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66">
    <w:name w:val="List Table 7 Colorful"/>
    <w:basedOn w:val="79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7" w:customStyle="1">
    <w:name w:val="List Table 7 Colorful - Accent 1"/>
    <w:basedOn w:val="790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rPr>
        <w:i/>
        <w:color w:val="254175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175" w:themeColor="accent1" w:themeShade="95"/>
        <w:sz w:val="22"/>
      </w:rPr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8" w:customStyle="1">
    <w:name w:val="List Table 7 Colorful - Accent 2"/>
    <w:basedOn w:val="79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9" w:customStyle="1">
    <w:name w:val="List Table 7 Colorful - Accent 3"/>
    <w:basedOn w:val="79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0" w:customStyle="1">
    <w:name w:val="List Table 7 Colorful - Accent 4"/>
    <w:basedOn w:val="79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1" w:customStyle="1">
    <w:name w:val="List Table 7 Colorful - Accent 5"/>
    <w:basedOn w:val="790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firstRow">
      <w:rPr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9bc2e5" w:themeColor="accent5" w:themeTint="9A" w:themeShade="95"/>
        <w:sz w:val="22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2" w:customStyle="1">
    <w:name w:val="List Table 7 Colorful - Accent 6"/>
    <w:basedOn w:val="79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3" w:customStyle="1">
    <w:name w:val="Lined - Accent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74" w:customStyle="1">
    <w:name w:val="Lined - Accent 1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</w:style>
  <w:style w:type="table" w:styleId="975" w:customStyle="1">
    <w:name w:val="Lined - Accent 2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976" w:customStyle="1">
    <w:name w:val="Lined - Accent 3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977" w:customStyle="1">
    <w:name w:val="Lined - Accent 4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978" w:customStyle="1">
    <w:name w:val="Lined - Accent 5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</w:style>
  <w:style w:type="table" w:styleId="979" w:customStyle="1">
    <w:name w:val="Lined - Accent 6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980" w:customStyle="1">
    <w:name w:val="Bordered &amp; Lined - Accent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81" w:customStyle="1">
    <w:name w:val="Bordered &amp; Lined - Accent 1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</w:style>
  <w:style w:type="table" w:styleId="982" w:customStyle="1">
    <w:name w:val="Bordered &amp; Lined - Accent 2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983" w:customStyle="1">
    <w:name w:val="Bordered &amp; Lined - Accent 3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984" w:customStyle="1">
    <w:name w:val="Bordered &amp; Lined - Accent 4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985" w:customStyle="1">
    <w:name w:val="Bordered &amp; Lined - Accent 5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</w:style>
  <w:style w:type="table" w:styleId="986" w:customStyle="1">
    <w:name w:val="Bordered &amp; Lined - Accent 6"/>
    <w:basedOn w:val="79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987" w:customStyle="1">
    <w:name w:val="Bordered"/>
    <w:basedOn w:val="79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88" w:customStyle="1">
    <w:name w:val="Bordered - Accent 1"/>
    <w:basedOn w:val="790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89" w:customStyle="1">
    <w:name w:val="Bordered - Accent 2"/>
    <w:basedOn w:val="79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90" w:customStyle="1">
    <w:name w:val="Bordered - Accent 3"/>
    <w:basedOn w:val="79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91" w:customStyle="1">
    <w:name w:val="Bordered - Accent 4"/>
    <w:basedOn w:val="79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92" w:customStyle="1">
    <w:name w:val="Bordered - Accent 5"/>
    <w:basedOn w:val="790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5" w:sz="12" w:space="0"/>
        </w:tcBorders>
      </w:tcPr>
    </w:tblStylePr>
  </w:style>
  <w:style w:type="table" w:styleId="993" w:customStyle="1">
    <w:name w:val="Bordered - Accent 6"/>
    <w:basedOn w:val="79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994">
    <w:name w:val="Table Grid"/>
    <w:basedOn w:val="790"/>
    <w:uiPriority w:val="39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4472C4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5B9BD5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Акулинина Галина Валентиновна</dc:creator>
  <dc:description/>
  <dc:language>ru-RU</dc:language>
  <cp:lastModifiedBy>Решетняк Юрий Анатольевич</cp:lastModifiedBy>
  <cp:revision>39</cp:revision>
  <dcterms:created xsi:type="dcterms:W3CDTF">2024-03-01T06:54:00Z</dcterms:created>
  <dcterms:modified xsi:type="dcterms:W3CDTF">2025-03-17T04:35:15Z</dcterms:modified>
</cp:coreProperties>
</file>