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FA4" w:rsidRDefault="00A05FA4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jc w:val="left"/>
        <w:rPr>
          <w:rFonts w:ascii="Times New Roman" w:hAnsi="Times New Roman" w:cs="Times New Roman"/>
          <w:color w:val="000000"/>
        </w:rPr>
      </w:pPr>
    </w:p>
    <w:p w:rsidR="00A05FA4" w:rsidRDefault="00A05FA4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5FA4" w:rsidRDefault="00E35621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Публичное акционерное общество «Саратовэнерго»</w:t>
      </w:r>
    </w:p>
    <w:p w:rsidR="00A05FA4" w:rsidRDefault="00A05FA4">
      <w:pPr>
        <w:ind w:firstLine="709"/>
        <w:rPr>
          <w:rFonts w:ascii="Times New Roman" w:hAnsi="Times New Roman" w:cs="Times New Roman"/>
        </w:rPr>
      </w:pPr>
    </w:p>
    <w:p w:rsidR="00A05FA4" w:rsidRDefault="00E3562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В соответствии с требованиями Стандартов раскрытия информации субъектами оптового и розничных рынков электрической энергии, утвержденных Постановлением Правительства РФ от 21 января 2004 г. №2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4 «Об утверждении стандартов раскрытия информации субъектами оптового и розничных рынков электрической энергии» (с изменениями), как субъект рынка электрической энергии - энергосбытовая организация и гарантирующий поставщик раскрывает  следующую информацию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:</w:t>
      </w:r>
    </w:p>
    <w:p w:rsidR="00A05FA4" w:rsidRDefault="00A05FA4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E35621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0" w:name="sub_11091"/>
      <w:r>
        <w:rPr>
          <w:rFonts w:ascii="Times New Roman" w:hAnsi="Times New Roman" w:cs="Times New Roman"/>
          <w:i/>
          <w:color w:val="000000"/>
          <w:sz w:val="24"/>
          <w:szCs w:val="24"/>
        </w:rPr>
        <w:t>Годовая финансовая (бухгалтерская) отчетность, а также аудиторское заключение.</w:t>
      </w:r>
    </w:p>
    <w:p w:rsidR="00A05FA4" w:rsidRDefault="00E35621">
      <w:pPr>
        <w:pStyle w:val="1"/>
        <w:spacing w:before="0" w:after="0"/>
        <w:ind w:firstLine="709"/>
        <w:jc w:val="both"/>
        <w:rPr>
          <w:rStyle w:val="af0"/>
          <w:rFonts w:ascii="Times New Roman" w:hAnsi="Times New Roman" w:cs="Arial"/>
          <w:b w:val="0"/>
          <w:bCs w:val="0"/>
          <w:color w:val="0070C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Указанная информация представлена на сайте Государственного информационного ресурса бухгалтерской (финансовой) отчетности  в информационно-коммуникационной сети «Интернет» по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адресу:</w:t>
      </w:r>
      <w:bookmarkStart w:id="1" w:name="sub_16203"/>
      <w:bookmarkStart w:id="2" w:name="sub_16202"/>
      <w:bookmarkEnd w:id="0"/>
      <w:bookmarkEnd w:id="1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hyperlink r:id="rId7" w:tooltip="https://bo.nalog.ru/organizations-card/6273330" w:history="1">
        <w:r>
          <w:rPr>
            <w:rStyle w:val="af0"/>
            <w:rFonts w:ascii="Times New Roman" w:hAnsi="Times New Roman"/>
            <w:b w:val="0"/>
            <w:bCs w:val="0"/>
            <w:sz w:val="24"/>
            <w:szCs w:val="24"/>
          </w:rPr>
          <w:t>https://bo.nalog.ru/organizations-card/6273330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A05FA4" w:rsidRDefault="00A05FA4">
      <w:pPr>
        <w:rPr>
          <w:color w:val="0070C0"/>
        </w:rPr>
      </w:pPr>
    </w:p>
    <w:p w:rsidR="00A05FA4" w:rsidRDefault="00E35621">
      <w:pPr>
        <w:ind w:firstLine="0"/>
        <w:jc w:val="center"/>
        <w:rPr>
          <w:rFonts w:ascii="Times New Roman" w:hAnsi="Times New Roman" w:cs="Times New Roman"/>
          <w:b/>
          <w:i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i/>
          <w:sz w:val="22"/>
          <w:szCs w:val="22"/>
          <w:highlight w:val="white"/>
        </w:rPr>
        <w:t>Структура и объем затрат на производство и реализацию товаров (работ, услуг) за 202</w:t>
      </w:r>
      <w:r>
        <w:rPr>
          <w:rFonts w:ascii="Times New Roman" w:hAnsi="Times New Roman" w:cs="Times New Roman"/>
          <w:b/>
          <w:i/>
          <w:sz w:val="22"/>
          <w:szCs w:val="22"/>
          <w:highlight w:val="white"/>
        </w:rPr>
        <w:t>4 год</w:t>
      </w:r>
    </w:p>
    <w:p w:rsidR="00A05FA4" w:rsidRDefault="00A05FA4">
      <w:pPr>
        <w:ind w:firstLine="540"/>
        <w:jc w:val="center"/>
        <w:rPr>
          <w:rFonts w:ascii="Times New Roman" w:hAnsi="Times New Roman" w:cs="Times New Roman"/>
          <w:b/>
          <w:i/>
          <w:sz w:val="22"/>
          <w:szCs w:val="22"/>
          <w:highlight w:val="white"/>
        </w:rPr>
      </w:pPr>
    </w:p>
    <w:tbl>
      <w:tblPr>
        <w:tblW w:w="12609" w:type="dxa"/>
        <w:jc w:val="center"/>
        <w:tblLayout w:type="fixed"/>
        <w:tblLook w:val="00A0" w:firstRow="1" w:lastRow="0" w:firstColumn="1" w:lastColumn="0" w:noHBand="0" w:noVBand="0"/>
      </w:tblPr>
      <w:tblGrid>
        <w:gridCol w:w="9066"/>
        <w:gridCol w:w="2001"/>
        <w:gridCol w:w="1542"/>
      </w:tblGrid>
      <w:tr w:rsidR="00A05FA4">
        <w:trPr>
          <w:trHeight w:val="315"/>
          <w:jc w:val="center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Затраты</w:t>
            </w:r>
          </w:p>
        </w:tc>
        <w:tc>
          <w:tcPr>
            <w:tcW w:w="200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 xml:space="preserve">Сумма, </w:t>
            </w:r>
          </w:p>
          <w:p w:rsidR="00A05FA4" w:rsidRDefault="00E3562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тыс.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Уд. вес,</w:t>
            </w:r>
          </w:p>
          <w:p w:rsidR="00A05FA4" w:rsidRDefault="00E3562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%</w:t>
            </w:r>
          </w:p>
        </w:tc>
      </w:tr>
      <w:tr w:rsidR="00A05FA4">
        <w:trPr>
          <w:trHeight w:val="20"/>
          <w:jc w:val="center"/>
        </w:trPr>
        <w:tc>
          <w:tcPr>
            <w:tcW w:w="906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eastAsia="en-US"/>
              </w:rPr>
              <w:t>Покупная электрическая энергия</w:t>
            </w:r>
          </w:p>
        </w:tc>
        <w:tc>
          <w:tcPr>
            <w:tcW w:w="200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14 617 724</w:t>
            </w:r>
          </w:p>
        </w:tc>
        <w:tc>
          <w:tcPr>
            <w:tcW w:w="15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55,1%</w:t>
            </w:r>
          </w:p>
        </w:tc>
      </w:tr>
      <w:tr w:rsidR="00A05FA4">
        <w:trPr>
          <w:trHeight w:val="20"/>
          <w:jc w:val="center"/>
        </w:trPr>
        <w:tc>
          <w:tcPr>
            <w:tcW w:w="906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eastAsia="en-US"/>
              </w:rPr>
              <w:t>Услуги сетевых компаний по передаче электрической энергии</w:t>
            </w:r>
          </w:p>
        </w:tc>
        <w:tc>
          <w:tcPr>
            <w:tcW w:w="200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10 446 633</w:t>
            </w:r>
          </w:p>
        </w:tc>
        <w:tc>
          <w:tcPr>
            <w:tcW w:w="15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39,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%</w:t>
            </w:r>
          </w:p>
        </w:tc>
      </w:tr>
      <w:tr w:rsidR="00A05FA4">
        <w:trPr>
          <w:trHeight w:val="20"/>
          <w:jc w:val="center"/>
        </w:trPr>
        <w:tc>
          <w:tcPr>
            <w:tcW w:w="906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eastAsia="en-US"/>
              </w:rPr>
              <w:t>Услуги инфраструктурных организаций</w:t>
            </w:r>
          </w:p>
        </w:tc>
        <w:tc>
          <w:tcPr>
            <w:tcW w:w="200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27 571</w:t>
            </w:r>
          </w:p>
        </w:tc>
        <w:tc>
          <w:tcPr>
            <w:tcW w:w="15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%</w:t>
            </w:r>
          </w:p>
        </w:tc>
      </w:tr>
      <w:tr w:rsidR="00A05FA4">
        <w:trPr>
          <w:trHeight w:val="195"/>
          <w:jc w:val="center"/>
        </w:trPr>
        <w:tc>
          <w:tcPr>
            <w:tcW w:w="906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eastAsia="en-US"/>
              </w:rPr>
              <w:t>Прочие затраты</w:t>
            </w:r>
          </w:p>
        </w:tc>
        <w:tc>
          <w:tcPr>
            <w:tcW w:w="200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1 457 920</w:t>
            </w:r>
          </w:p>
        </w:tc>
        <w:tc>
          <w:tcPr>
            <w:tcW w:w="15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5,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%</w:t>
            </w:r>
          </w:p>
        </w:tc>
      </w:tr>
      <w:tr w:rsidR="00A05FA4">
        <w:trPr>
          <w:trHeight w:val="20"/>
          <w:jc w:val="center"/>
        </w:trPr>
        <w:tc>
          <w:tcPr>
            <w:tcW w:w="906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05FA4" w:rsidRDefault="00E3562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eastAsia="en-US"/>
              </w:rPr>
              <w:t>ИТОГО</w:t>
            </w:r>
          </w:p>
        </w:tc>
        <w:tc>
          <w:tcPr>
            <w:tcW w:w="200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  <w:lang w:val="en-US"/>
              </w:rPr>
              <w:t>26 549 848</w:t>
            </w:r>
          </w:p>
        </w:tc>
        <w:tc>
          <w:tcPr>
            <w:tcW w:w="15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A05FA4" w:rsidRDefault="00E35621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white"/>
              </w:rPr>
              <w:t>100,00%</w:t>
            </w:r>
          </w:p>
        </w:tc>
      </w:tr>
    </w:tbl>
    <w:p w:rsidR="00A05FA4" w:rsidRDefault="00A05FA4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</w:p>
    <w:p w:rsidR="00A05FA4" w:rsidRDefault="00E35621">
      <w:pPr>
        <w:widowControl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Метод доходности инвестированного капитала</w:t>
      </w:r>
    </w:p>
    <w:p w:rsidR="00A05FA4" w:rsidRDefault="00E35621">
      <w:pPr>
        <w:widowControl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 государственном регулировании тарифов в отношении субъектов рынков электрической энергии.</w:t>
      </w:r>
    </w:p>
    <w:p w:rsidR="00A05FA4" w:rsidRDefault="00E35621">
      <w:pPr>
        <w:widowControl/>
        <w:ind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применимо.</w:t>
      </w:r>
    </w:p>
    <w:bookmarkEnd w:id="2"/>
    <w:p w:rsidR="00A05FA4" w:rsidRDefault="00A05FA4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A05FA4">
      <w:pPr>
        <w:ind w:firstLine="709"/>
        <w:rPr>
          <w:rFonts w:ascii="Times New Roman" w:hAnsi="Times New Roman" w:cs="Times New Roman"/>
        </w:rPr>
      </w:pPr>
    </w:p>
    <w:p w:rsidR="00A05FA4" w:rsidRDefault="00E35621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Цена на электрическую энергию, дифференцированную в зависимости от условий, определенных законодательством Российской Федерации. При этом отдельно раскрывается цена закупки электрической энергии, стоимость услуг по ее передаче, а также стоимость иных услуг</w:t>
      </w:r>
      <w:r>
        <w:rPr>
          <w:rFonts w:ascii="Times New Roman" w:hAnsi="Times New Roman" w:cs="Times New Roman"/>
          <w:b/>
          <w:i/>
          <w:sz w:val="24"/>
          <w:szCs w:val="24"/>
        </w:rPr>
        <w:t>, оказание которых является неотъемлемой частью поставки электрической энергии потребителю.</w:t>
      </w:r>
    </w:p>
    <w:p w:rsidR="00A05FA4" w:rsidRDefault="00E35621">
      <w:pPr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В соответствии со ст. 40 Федерального закона от 26.03.2003 N 35-ФЗ (ред. от 25.10.2024) «Об электроэнергетике» на территориях, объединенных в ценовые зоны оптового </w:t>
      </w:r>
      <w:r>
        <w:rPr>
          <w:rFonts w:ascii="Times New Roman" w:hAnsi="Times New Roman"/>
          <w:sz w:val="24"/>
          <w:szCs w:val="24"/>
          <w:highlight w:val="white"/>
        </w:rPr>
        <w:t>рынка, гарантирующие поставщики осуществляют продажу электрической энергии (мощности) (за исключением объема электрической энергии (мощности), поставляемого населению и приравненным к нему категориям потребителей) на розничных рынках по нерегулируемым цена</w:t>
      </w:r>
      <w:r>
        <w:rPr>
          <w:rFonts w:ascii="Times New Roman" w:hAnsi="Times New Roman"/>
          <w:sz w:val="24"/>
          <w:szCs w:val="24"/>
          <w:highlight w:val="white"/>
        </w:rPr>
        <w:t xml:space="preserve">м  не выше предельных уровней нерегулируемых цен, рассчитанных в соответствии с основными </w:t>
      </w:r>
      <w:r>
        <w:rPr>
          <w:rFonts w:ascii="Times New Roman" w:hAnsi="Times New Roman"/>
          <w:sz w:val="24"/>
          <w:szCs w:val="24"/>
          <w:highlight w:val="white"/>
        </w:rPr>
        <w:lastRenderedPageBreak/>
        <w:t>положениями функционирования розничных рынков исходя из цен на приобретаемые гарантирующими поставщиками электрическую энергию и мощность на оптовом рынке, сбытовой н</w:t>
      </w:r>
      <w:r>
        <w:rPr>
          <w:rFonts w:ascii="Times New Roman" w:hAnsi="Times New Roman"/>
          <w:sz w:val="24"/>
          <w:szCs w:val="24"/>
          <w:highlight w:val="white"/>
        </w:rPr>
        <w:t>адбавки гарантирующего поставщика и цен на услуги, оказание которых неразрывно связано с процессом снабжения потребителей электрической энергией. Информация о предельных уровнях нерегулируемых цен размещена на официальном сайте Общества по адресу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tooltip="https://www.saratovenergo.ru/yuridicheskim-litsam/raschet-stoimosti-elektroenergii/predelnye-urovni-svobodnykh-nereguliruemykh-tsen/archive-for-2024/" w:history="1">
        <w:r>
          <w:rPr>
            <w:rStyle w:val="af0"/>
            <w:rFonts w:ascii="Times New Roman" w:hAnsi="Times New Roman" w:cs="Arial"/>
            <w:sz w:val="24"/>
            <w:szCs w:val="24"/>
          </w:rPr>
          <w:t>https://www.saratovenergo.ru/yuridicheskim-litsam/raschet-stoimosti-elektroenergii/predelnye-urovni-svobodnykh-nereguliruemykh-tsen/archive-for-2024/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A05FA4" w:rsidRDefault="00A05FA4">
      <w:pPr>
        <w:ind w:firstLine="540"/>
        <w:rPr>
          <w:rFonts w:ascii="Times New Roman" w:hAnsi="Times New Roman"/>
          <w:sz w:val="24"/>
          <w:szCs w:val="24"/>
        </w:rPr>
      </w:pP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Тарифы на электрическую энергию для населения н</w:t>
      </w:r>
      <w:r>
        <w:rPr>
          <w:rFonts w:ascii="Times New Roman" w:hAnsi="Times New Roman"/>
          <w:sz w:val="24"/>
          <w:szCs w:val="24"/>
        </w:rPr>
        <w:t xml:space="preserve">а 2024 год утверждены Постановлениями КГРТ Саратовской области от </w:t>
      </w:r>
      <w:r>
        <w:rPr>
          <w:rFonts w:ascii="Times New Roman" w:hAnsi="Times New Roman"/>
          <w:sz w:val="24"/>
          <w:szCs w:val="24"/>
          <w:highlight w:val="white"/>
        </w:rPr>
        <w:t>19 декабря 2023 года № 73, от 08 мая 2024 года № 35: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095"/>
        <w:gridCol w:w="2095"/>
        <w:gridCol w:w="2095"/>
        <w:gridCol w:w="2095"/>
        <w:gridCol w:w="2095"/>
        <w:gridCol w:w="2095"/>
      </w:tblGrid>
      <w:tr w:rsidR="00A05FA4">
        <w:trPr>
          <w:trHeight w:val="36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Категории потребителей</w:t>
            </w:r>
          </w:p>
        </w:tc>
        <w:tc>
          <w:tcPr>
            <w:tcW w:w="12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Цена (тариф), руб./кВт*ч (с учетом НДС) </w:t>
            </w:r>
          </w:p>
        </w:tc>
      </w:tr>
      <w:tr w:rsidR="00A05FA4">
        <w:trPr>
          <w:trHeight w:val="3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A05FA4"/>
        </w:tc>
        <w:tc>
          <w:tcPr>
            <w:tcW w:w="6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FA4" w:rsidRDefault="00E35621">
            <w:pPr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01 января 2024 года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30 июня 2024 года</w:t>
            </w:r>
          </w:p>
        </w:tc>
        <w:tc>
          <w:tcPr>
            <w:tcW w:w="6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5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01 июля 2024 года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31 декабря 2024 года</w:t>
            </w:r>
          </w:p>
        </w:tc>
      </w:tr>
      <w:tr w:rsidR="00A05FA4">
        <w:trPr>
          <w:trHeight w:val="34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A05FA4"/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диапазон</w:t>
            </w:r>
          </w:p>
        </w:tc>
      </w:tr>
      <w:tr w:rsidR="00A05FA4">
        <w:trPr>
          <w:trHeight w:val="6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8,70</w:t>
            </w:r>
          </w:p>
        </w:tc>
      </w:tr>
      <w:tr w:rsidR="00A05FA4">
        <w:trPr>
          <w:trHeight w:val="98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(или) электроотопительными установками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6,09</w:t>
            </w:r>
          </w:p>
        </w:tc>
      </w:tr>
      <w:tr w:rsidR="00A05FA4">
        <w:trPr>
          <w:trHeight w:val="6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6,09</w:t>
            </w:r>
          </w:p>
        </w:tc>
      </w:tr>
      <w:tr w:rsidR="00A05FA4">
        <w:trPr>
          <w:trHeight w:val="8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8,70</w:t>
            </w:r>
          </w:p>
        </w:tc>
      </w:tr>
    </w:tbl>
    <w:p w:rsidR="00A05FA4" w:rsidRDefault="00A05FA4">
      <w:pPr>
        <w:ind w:firstLine="540"/>
        <w:rPr>
          <w:rFonts w:ascii="Times New Roman" w:hAnsi="Times New Roman"/>
        </w:rPr>
      </w:pPr>
    </w:p>
    <w:p w:rsidR="00A05FA4" w:rsidRDefault="00E35621">
      <w:pPr>
        <w:ind w:firstLine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Диапазоны объемов потребления электрической энергии (мощности) для населения и приравненных к нему категорий потребителей </w:t>
      </w:r>
    </w:p>
    <w:p w:rsidR="00A05FA4" w:rsidRDefault="00E35621">
      <w:pPr>
        <w:ind w:firstLine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 2024 год, кВт*ч/мес.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486"/>
        <w:gridCol w:w="2693"/>
        <w:gridCol w:w="2835"/>
        <w:gridCol w:w="2835"/>
      </w:tblGrid>
      <w:tr w:rsidR="00A05FA4">
        <w:trPr>
          <w:trHeight w:val="600"/>
        </w:trPr>
        <w:tc>
          <w:tcPr>
            <w:tcW w:w="6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Категории потребителей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диапазон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диапазон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диапазон</w:t>
            </w:r>
          </w:p>
        </w:tc>
      </w:tr>
      <w:tr w:rsidR="00A05FA4">
        <w:trPr>
          <w:trHeight w:val="538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Население и приравненные к нему категории потребителей, за </w:t>
            </w:r>
            <w:r w:rsidR="000808AB">
              <w:rPr>
                <w:rFonts w:ascii="Times New Roman" w:hAnsi="Times New Roman" w:cs="Times New Roman"/>
                <w:sz w:val="22"/>
                <w:szCs w:val="22"/>
              </w:rPr>
              <w:t>исключением юридических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лиц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, приобретающих электроэнергию (мощность) в целях потребления осужденными и религиозных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 11 160 включительно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11 161 до 20 000 включительно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свыше 20 000</w:t>
            </w:r>
          </w:p>
        </w:tc>
      </w:tr>
      <w:tr w:rsidR="00A05FA4">
        <w:trPr>
          <w:trHeight w:val="504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Юридические лица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, приобретающие электроэнергию (мощность) в целях потребления осужденными,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елигиозные организации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 50 000 включительно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50 001 до 100 000 включительно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свыше 100 000</w:t>
            </w:r>
          </w:p>
        </w:tc>
      </w:tr>
    </w:tbl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Информация о тарифах для населения размещена на официальном сайте Общества по адресу </w:t>
      </w:r>
      <w:hyperlink r:id="rId9" w:tooltip="http://www.saratovenergo.ru/chastnym-litsam/tarify/" w:history="1">
        <w:r>
          <w:rPr>
            <w:rStyle w:val="af0"/>
            <w:rFonts w:ascii="Times New Roman" w:hAnsi="Times New Roman" w:cs="Arial"/>
            <w:sz w:val="24"/>
            <w:szCs w:val="24"/>
            <w:highlight w:val="white"/>
          </w:rPr>
          <w:t>http://www.saratovenergo.ru/chastnym-litsam</w:t>
        </w:r>
        <w:r>
          <w:rPr>
            <w:rStyle w:val="af0"/>
            <w:rFonts w:ascii="Times New Roman" w:hAnsi="Times New Roman" w:cs="Arial"/>
            <w:sz w:val="24"/>
            <w:szCs w:val="24"/>
            <w:highlight w:val="white"/>
          </w:rPr>
          <w:t>/tarify/</w:t>
        </w:r>
      </w:hyperlink>
      <w:r>
        <w:rPr>
          <w:rFonts w:ascii="Times New Roman" w:hAnsi="Times New Roman"/>
          <w:sz w:val="24"/>
          <w:szCs w:val="24"/>
          <w:highlight w:val="white"/>
        </w:rPr>
        <w:t>.</w:t>
      </w: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Информация о цене закупки электрической энергии и мощности, поставляемой потребителям, за исключением населения и приравненных к нему категорий, размещена на официальном сайте Общества по адресу </w:t>
      </w:r>
      <w:hyperlink r:id="rId10" w:tooltip="http://www.saratovenergo.ru/yuridicheskim-litsam/raschet-stoimosti-elektroenergii/srednevzveshennye-nereguliruemye-tseny-v-chasti-pokupki-na-optovom-rynke/" w:history="1">
        <w:r>
          <w:rPr>
            <w:rStyle w:val="af0"/>
            <w:rFonts w:ascii="Times New Roman" w:hAnsi="Times New Roman" w:cs="Arial"/>
            <w:sz w:val="24"/>
            <w:szCs w:val="24"/>
            <w:highlight w:val="white"/>
          </w:rPr>
          <w:t>http://www.saratovenergo.ru/yuridicheskim-litsam/raschet-stoimosti-elektroenergii/srednevzveshennye-nereguliruemye-tseny-v-chasti-pokupki-na-optovom-rynke/</w:t>
        </w:r>
      </w:hyperlink>
      <w:r>
        <w:rPr>
          <w:rFonts w:ascii="Times New Roman" w:hAnsi="Times New Roman"/>
          <w:sz w:val="24"/>
          <w:szCs w:val="24"/>
          <w:highlight w:val="white"/>
        </w:rPr>
        <w:t>.</w:t>
      </w: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Цены закупки электрической энергии и мощности, поставляемых населению и п</w:t>
      </w:r>
      <w:r>
        <w:rPr>
          <w:rFonts w:ascii="Times New Roman" w:hAnsi="Times New Roman"/>
          <w:sz w:val="24"/>
          <w:szCs w:val="24"/>
        </w:rPr>
        <w:t>риравненным к нему категориям потребителей Саратовской области (индикативные цены на электрическую энергию и на мощность для населения и приравненных к нему категорий потребителей), установлены на 2024 год приказом ФАС России</w:t>
      </w:r>
      <w:r>
        <w:rPr>
          <w:rFonts w:ascii="Times New Roman" w:hAnsi="Times New Roman"/>
          <w:sz w:val="24"/>
          <w:szCs w:val="24"/>
          <w:highlight w:val="white"/>
        </w:rPr>
        <w:t xml:space="preserve"> от 31 октября 2023 года № 785/</w:t>
      </w:r>
      <w:r>
        <w:rPr>
          <w:rFonts w:ascii="Times New Roman" w:hAnsi="Times New Roman"/>
          <w:sz w:val="24"/>
          <w:szCs w:val="24"/>
          <w:highlight w:val="white"/>
        </w:rPr>
        <w:t>23 и со</w:t>
      </w:r>
      <w:r>
        <w:rPr>
          <w:rFonts w:ascii="Times New Roman" w:hAnsi="Times New Roman"/>
          <w:sz w:val="24"/>
          <w:szCs w:val="24"/>
        </w:rPr>
        <w:t xml:space="preserve">ставляют на период </w:t>
      </w:r>
      <w:r>
        <w:rPr>
          <w:rFonts w:ascii="Times New Roman" w:hAnsi="Times New Roman"/>
          <w:sz w:val="24"/>
          <w:szCs w:val="24"/>
          <w:highlight w:val="white"/>
        </w:rPr>
        <w:t>с 01 января 2024 г. по 30 июня 2024 г. 861,12 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/МВт*ч – на электроэнергию, 373 708,14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 – на мощность, н</w:t>
      </w:r>
      <w:r>
        <w:rPr>
          <w:rFonts w:ascii="Times New Roman" w:hAnsi="Times New Roman"/>
          <w:sz w:val="24"/>
          <w:szCs w:val="24"/>
        </w:rPr>
        <w:t>а период</w:t>
      </w:r>
      <w:r>
        <w:rPr>
          <w:rFonts w:ascii="Times New Roman" w:hAnsi="Times New Roman"/>
          <w:sz w:val="24"/>
          <w:szCs w:val="24"/>
          <w:highlight w:val="white"/>
        </w:rPr>
        <w:t xml:space="preserve"> с 01 июля 2024 г. по 31 декабря 2024 г. 937,76 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/МВт*ч – на электроэнергию, 406 968,17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 – на мощност</w:t>
      </w:r>
      <w:r>
        <w:rPr>
          <w:rFonts w:ascii="Times New Roman" w:hAnsi="Times New Roman"/>
          <w:sz w:val="24"/>
          <w:szCs w:val="24"/>
          <w:highlight w:val="white"/>
        </w:rPr>
        <w:t>ь.</w:t>
      </w:r>
    </w:p>
    <w:p w:rsidR="00A05FA4" w:rsidRDefault="00A05FA4">
      <w:pPr>
        <w:ind w:firstLine="540"/>
        <w:rPr>
          <w:rFonts w:ascii="Times New Roman" w:hAnsi="Times New Roman"/>
          <w:sz w:val="24"/>
          <w:szCs w:val="24"/>
          <w:highlight w:val="white"/>
        </w:rPr>
      </w:pPr>
    </w:p>
    <w:p w:rsidR="00A05FA4" w:rsidRDefault="00E35621">
      <w:pPr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Единые (котловые) тарифы на услуги по передаче электрической энергии для потребителей Саратовской области на 2024 год утверждены Постановлениями КГРТ Саратовской области от 19 декабря 2023 года № 78, от 08 мая 2024 года № 36:</w:t>
      </w:r>
    </w:p>
    <w:tbl>
      <w:tblPr>
        <w:tblW w:w="14630" w:type="dxa"/>
        <w:jc w:val="center"/>
        <w:tblLayout w:type="fixed"/>
        <w:tblLook w:val="00A0" w:firstRow="1" w:lastRow="0" w:firstColumn="1" w:lastColumn="0" w:noHBand="0" w:noVBand="0"/>
      </w:tblPr>
      <w:tblGrid>
        <w:gridCol w:w="3702"/>
        <w:gridCol w:w="1819"/>
        <w:gridCol w:w="3173"/>
        <w:gridCol w:w="5936"/>
      </w:tblGrid>
      <w:tr w:rsidR="00A05FA4" w:rsidTr="000808AB">
        <w:trPr>
          <w:trHeight w:val="296"/>
          <w:jc w:val="center"/>
        </w:trPr>
        <w:tc>
          <w:tcPr>
            <w:tcW w:w="3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A05FA4" w:rsidRDefault="00E35621">
            <w:pPr>
              <w:widowControl/>
              <w:ind w:firstLine="540"/>
              <w:jc w:val="center"/>
              <w:rPr>
                <w:rFonts w:ascii="Arial CYR" w:hAnsi="Arial CYR" w:cs="Times New Roman"/>
                <w:sz w:val="22"/>
                <w:szCs w:val="22"/>
                <w:highlight w:val="white"/>
              </w:rPr>
            </w:pPr>
            <w:r>
              <w:rPr>
                <w:rFonts w:ascii="Arial CYR" w:hAnsi="Arial CYR" w:cs="Times New Roman"/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0928" w:type="dxa"/>
            <w:gridSpan w:val="3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Единые (котловые) тарифы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на услуги по передаче электрической энергии, без НДС</w:t>
            </w:r>
          </w:p>
        </w:tc>
      </w:tr>
      <w:tr w:rsidR="00A05FA4" w:rsidTr="000808AB">
        <w:trPr>
          <w:trHeight w:val="263"/>
          <w:jc w:val="center"/>
        </w:trPr>
        <w:tc>
          <w:tcPr>
            <w:tcW w:w="3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FA4" w:rsidRDefault="00A05FA4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тариф</w:t>
            </w:r>
          </w:p>
        </w:tc>
        <w:tc>
          <w:tcPr>
            <w:tcW w:w="9109" w:type="dxa"/>
            <w:gridSpan w:val="2"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тариф</w:t>
            </w:r>
          </w:p>
        </w:tc>
      </w:tr>
      <w:tr w:rsidR="00A05FA4" w:rsidTr="000808AB">
        <w:trPr>
          <w:trHeight w:val="547"/>
          <w:jc w:val="center"/>
        </w:trPr>
        <w:tc>
          <w:tcPr>
            <w:tcW w:w="3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FA4" w:rsidRDefault="00A05FA4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819" w:type="dxa"/>
            <w:vMerge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Ставка на содержание электрических сетей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Ставка на оплату технологического расхода (потерь) в электрических сетях</w:t>
            </w:r>
          </w:p>
        </w:tc>
      </w:tr>
      <w:tr w:rsidR="00A05FA4" w:rsidTr="000808AB">
        <w:trPr>
          <w:trHeight w:val="270"/>
          <w:jc w:val="center"/>
        </w:trPr>
        <w:tc>
          <w:tcPr>
            <w:tcW w:w="3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FA4" w:rsidRDefault="00A05FA4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hanging="6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/кВт*ч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A05FA4" w:rsidRDefault="00E35621">
            <w:pPr>
              <w:widowControl/>
              <w:ind w:hanging="6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руб./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кВт.мес</w:t>
            </w:r>
            <w:proofErr w:type="spellEnd"/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A05FA4" w:rsidRDefault="00E35621">
            <w:pPr>
              <w:widowControl/>
              <w:ind w:hanging="6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руб./кВт*ч</w:t>
            </w:r>
          </w:p>
        </w:tc>
      </w:tr>
      <w:tr w:rsidR="00A05FA4">
        <w:trPr>
          <w:trHeight w:val="315"/>
          <w:jc w:val="center"/>
        </w:trPr>
        <w:tc>
          <w:tcPr>
            <w:tcW w:w="14630" w:type="dxa"/>
            <w:gridSpan w:val="4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>С 01 января 2024 года по 30 июня 2024 года</w:t>
            </w:r>
          </w:p>
        </w:tc>
      </w:tr>
      <w:tr w:rsidR="00A05FA4">
        <w:trPr>
          <w:trHeight w:val="315"/>
          <w:jc w:val="center"/>
        </w:trPr>
        <w:tc>
          <w:tcPr>
            <w:tcW w:w="14630" w:type="dxa"/>
            <w:gridSpan w:val="4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</w:rPr>
              <w:t>Тарифная группа «прочие потребители»</w:t>
            </w:r>
          </w:p>
        </w:tc>
      </w:tr>
      <w:tr w:rsidR="00A05FA4" w:rsidTr="000808AB">
        <w:trPr>
          <w:trHeight w:val="3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ВН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1,83592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1 001,70187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0,17139</w:t>
            </w:r>
          </w:p>
        </w:tc>
      </w:tr>
      <w:tr w:rsidR="00A05FA4" w:rsidTr="000808AB">
        <w:trPr>
          <w:trHeight w:val="3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СН-I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2,57994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1 025,23206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0,35871</w:t>
            </w:r>
          </w:p>
        </w:tc>
      </w:tr>
      <w:tr w:rsidR="00A05FA4" w:rsidTr="000808AB">
        <w:trPr>
          <w:trHeight w:val="24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СН-II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4,23747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1 807,77483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0,56383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НН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4,62441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2 323,11097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1,01475</w:t>
            </w:r>
          </w:p>
        </w:tc>
      </w:tr>
      <w:tr w:rsidR="00A05FA4">
        <w:trPr>
          <w:trHeight w:val="398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</w:rPr>
              <w:t>Тарифная группа «население и приравненные к нему категории потребителей»</w:t>
            </w:r>
          </w:p>
        </w:tc>
      </w:tr>
      <w:tr w:rsidR="00A05FA4">
        <w:trPr>
          <w:trHeight w:val="253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 диапазон объемов потребления электроэнергии</w:t>
            </w:r>
          </w:p>
        </w:tc>
      </w:tr>
      <w:tr w:rsidR="00A05FA4" w:rsidTr="000808AB">
        <w:trPr>
          <w:trHeight w:val="24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0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0,70456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5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0,68765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5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0,70415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08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0,70348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184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71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302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75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1,79561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>
        <w:trPr>
          <w:trHeight w:val="253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диапазон объемов потребления электроэнергии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0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0,70456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0,68765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0,70415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74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0,70348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20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4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77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1,79561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>
        <w:trPr>
          <w:trHeight w:val="253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диапазон объемов потребления электроэнергии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0,70456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5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0,68765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0,70415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0,70348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6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33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1,79582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1,79561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>
        <w:trPr>
          <w:trHeight w:val="350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>С 01 июля 2024 года по 31 декабря 2024 года</w:t>
            </w:r>
          </w:p>
        </w:tc>
      </w:tr>
      <w:tr w:rsidR="00A05FA4">
        <w:trPr>
          <w:trHeight w:val="415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white"/>
              </w:rPr>
              <w:t>Тарифная группа «прочие потребители»</w:t>
            </w:r>
          </w:p>
        </w:tc>
      </w:tr>
      <w:tr w:rsidR="00A05FA4" w:rsidTr="000808AB">
        <w:trPr>
          <w:trHeight w:val="268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ВН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1,99840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1 090,56165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0,18699</w:t>
            </w:r>
          </w:p>
        </w:tc>
      </w:tr>
      <w:tr w:rsidR="00A05FA4" w:rsidTr="000808AB">
        <w:trPr>
          <w:trHeight w:val="268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СН-I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2,84567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1 132,88143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0,39135</w:t>
            </w:r>
          </w:p>
        </w:tc>
      </w:tr>
      <w:tr w:rsidR="00A05FA4" w:rsidTr="000808AB">
        <w:trPr>
          <w:trHeight w:val="268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СН-II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4,62308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1 972,28234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0,61514</w:t>
            </w:r>
          </w:p>
        </w:tc>
      </w:tr>
      <w:tr w:rsidR="00A05FA4" w:rsidTr="000808AB">
        <w:trPr>
          <w:trHeight w:val="330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НН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5,04523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2 534,51407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1,10709</w:t>
            </w:r>
          </w:p>
        </w:tc>
      </w:tr>
      <w:tr w:rsidR="00A05FA4">
        <w:trPr>
          <w:trHeight w:val="350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Тарифная группа «население и приравненные к нему категории потребителей»</w:t>
            </w:r>
          </w:p>
        </w:tc>
      </w:tr>
      <w:tr w:rsidR="00A05FA4">
        <w:trPr>
          <w:trHeight w:val="273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 диапазон объемов потребления электроэнергии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1,95408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0,77104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6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0,75599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0,77074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6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0,76965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41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1,95407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1,95406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8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 xml:space="preserve">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>1,95407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1,95407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1,95407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126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1,95365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>
        <w:trPr>
          <w:trHeight w:val="268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диапазон объемов потребления электроэнергии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1,96241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0,77105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0,75612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55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0,77074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0,76966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2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41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65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1,96240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1407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lastRenderedPageBreak/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1,96198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>
        <w:trPr>
          <w:trHeight w:val="273"/>
          <w:jc w:val="center"/>
        </w:trPr>
        <w:tc>
          <w:tcPr>
            <w:tcW w:w="14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диапазон объемов потребления электроэнергии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2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3,07130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3,04386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2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3,07074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Сельское население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3,06876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492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A05FA4">
            <w:pPr>
              <w:rPr>
                <w:sz w:val="22"/>
                <w:szCs w:val="22"/>
              </w:rPr>
            </w:pPr>
          </w:p>
        </w:tc>
      </w:tr>
      <w:tr w:rsidR="00A05FA4" w:rsidTr="000808AB">
        <w:trPr>
          <w:trHeight w:val="556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4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СНТ и ОНТ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99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27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 религиозные организации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3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ГП, ЭСК и ЭСО приобретающие электроэнергию (мощность) для продажи населению 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5,24574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  <w:tr w:rsidR="00A05FA4" w:rsidTr="000808AB">
        <w:trPr>
          <w:trHeight w:val="633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хозпостройках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8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5,24498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  <w:tc>
          <w:tcPr>
            <w:tcW w:w="5936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5FA4" w:rsidRDefault="00E35621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-</w:t>
            </w:r>
          </w:p>
        </w:tc>
      </w:tr>
    </w:tbl>
    <w:p w:rsidR="00A05FA4" w:rsidRDefault="00A05FA4">
      <w:pPr>
        <w:ind w:firstLine="540"/>
        <w:rPr>
          <w:rFonts w:ascii="Times New Roman" w:hAnsi="Times New Roman"/>
          <w:sz w:val="24"/>
          <w:szCs w:val="24"/>
        </w:rPr>
      </w:pPr>
    </w:p>
    <w:p w:rsidR="00A05FA4" w:rsidRDefault="00E35621">
      <w:pPr>
        <w:widowControl/>
        <w:ind w:firstLine="5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Информация о единых (котловых) тарифах на услуги по передаче элек</w:t>
      </w:r>
      <w:r>
        <w:rPr>
          <w:rFonts w:ascii="Times New Roman" w:hAnsi="Times New Roman"/>
          <w:sz w:val="24"/>
          <w:szCs w:val="24"/>
        </w:rPr>
        <w:t xml:space="preserve">трической энергии для потребителей Саратовской области на </w:t>
      </w:r>
      <w:r>
        <w:rPr>
          <w:rFonts w:ascii="Times New Roman" w:hAnsi="Times New Roman"/>
          <w:sz w:val="24"/>
          <w:szCs w:val="24"/>
          <w:highlight w:val="white"/>
        </w:rPr>
        <w:t xml:space="preserve">2024 год размещена на официальном сайте Общества по </w:t>
      </w:r>
      <w:r>
        <w:rPr>
          <w:rFonts w:ascii="Times New Roman" w:hAnsi="Times New Roman"/>
          <w:sz w:val="24"/>
          <w:szCs w:val="24"/>
        </w:rPr>
        <w:t xml:space="preserve">адресу </w:t>
      </w:r>
      <w:hyperlink r:id="rId11" w:tooltip="https://www.saratovenergo.ru/yuridicheskim-litsam/tarify/" w:history="1">
        <w:r>
          <w:rPr>
            <w:rStyle w:val="af0"/>
            <w:rFonts w:ascii="Times New Roman" w:hAnsi="Times New Roman" w:cs="Arial"/>
            <w:sz w:val="24"/>
            <w:szCs w:val="24"/>
          </w:rPr>
          <w:t>ht</w:t>
        </w:r>
        <w:r>
          <w:rPr>
            <w:rStyle w:val="af0"/>
            <w:rFonts w:ascii="Times New Roman" w:hAnsi="Times New Roman" w:cs="Arial"/>
            <w:sz w:val="24"/>
            <w:szCs w:val="24"/>
          </w:rPr>
          <w:t>tps://www.saratovenergo.ru/yurid</w:t>
        </w:r>
        <w:bookmarkStart w:id="3" w:name="undefined"/>
        <w:r>
          <w:rPr>
            <w:rStyle w:val="af0"/>
            <w:rFonts w:ascii="Times New Roman" w:hAnsi="Times New Roman" w:cs="Arial"/>
            <w:sz w:val="24"/>
            <w:szCs w:val="24"/>
          </w:rPr>
          <w:t>icheskim-litsam</w:t>
        </w:r>
        <w:bookmarkEnd w:id="3"/>
        <w:r>
          <w:rPr>
            <w:rStyle w:val="af0"/>
            <w:rFonts w:ascii="Times New Roman" w:hAnsi="Times New Roman" w:cs="Arial"/>
            <w:sz w:val="24"/>
            <w:szCs w:val="24"/>
          </w:rPr>
          <w:t>/tarify/</w:t>
        </w:r>
      </w:hyperlink>
      <w:r>
        <w:rPr>
          <w:rStyle w:val="af0"/>
          <w:rFonts w:ascii="Times New Roman" w:hAnsi="Times New Roman" w:cs="Arial"/>
          <w:color w:val="000000"/>
          <w:sz w:val="24"/>
          <w:szCs w:val="24"/>
          <w:u w:val="none"/>
        </w:rPr>
        <w:t>.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Услуги коммерческого оператора, оказываемые АО «АТС», на 2024 год утверждены Приказом ФАС России от 22 декабря 2023 года №1038/23 и составляют: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на 1 полугодие 2024 г.  – 1,681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/МВт*ч (без НДС);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на 2 полугодие 2024 г.  – 1,962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</w:t>
      </w:r>
      <w:r>
        <w:rPr>
          <w:rFonts w:ascii="Times New Roman" w:hAnsi="Times New Roman"/>
          <w:sz w:val="24"/>
          <w:szCs w:val="24"/>
        </w:rPr>
        <w:t>МВт*ч (без НДС).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Услуги АО «СО ЕЭС» на 2024 год утверждены Приказом ФАС России о</w:t>
      </w:r>
      <w:r>
        <w:rPr>
          <w:rFonts w:ascii="Times New Roman" w:hAnsi="Times New Roman"/>
          <w:sz w:val="24"/>
          <w:szCs w:val="24"/>
          <w:highlight w:val="white"/>
        </w:rPr>
        <w:t>т 22 декабря 2023 года № 1039/23 и составляют: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1 полугодие 2024 г.  – </w:t>
      </w:r>
      <w:r>
        <w:rPr>
          <w:rFonts w:ascii="Times New Roman" w:hAnsi="Times New Roman"/>
          <w:sz w:val="24"/>
          <w:szCs w:val="24"/>
          <w:highlight w:val="white"/>
        </w:rPr>
        <w:t xml:space="preserve">2,182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</w:t>
      </w:r>
      <w:r>
        <w:rPr>
          <w:rFonts w:ascii="Times New Roman" w:hAnsi="Times New Roman"/>
          <w:sz w:val="24"/>
          <w:szCs w:val="24"/>
        </w:rPr>
        <w:t>МВт*ч (без НДС);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на 2 полугодие 2024 г.  – 2,378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/МВт*</w:t>
      </w:r>
      <w:r>
        <w:rPr>
          <w:rFonts w:ascii="Times New Roman" w:hAnsi="Times New Roman"/>
          <w:sz w:val="24"/>
          <w:szCs w:val="24"/>
          <w:highlight w:val="white"/>
        </w:rPr>
        <w:t>ч (без НДС).</w:t>
      </w: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Размер платы за комплексную услугу АО «ЦФР» на 1 полугодие 2024 г. составляет – 0,439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/МВт*ч (без НДС) и утвержден Наблюдательным советом Ассоциации НП «Совет рынка» 22 мая 2023 года (протокол от 22.05.2023 № 8/2023), на 2 полугодие 2024 г.</w:t>
      </w:r>
      <w:r>
        <w:rPr>
          <w:rFonts w:ascii="Times New Roman" w:hAnsi="Times New Roman"/>
          <w:sz w:val="24"/>
          <w:szCs w:val="24"/>
          <w:highlight w:val="white"/>
        </w:rPr>
        <w:t xml:space="preserve"> составляет – 0,471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/МВт*ч (без НДС) и утвержден Наблюдательным советом Ассоциации НП «Совет рынка» 24 мая 2024 года (протокол от 24.05.2024 № 10/2024).</w:t>
      </w: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С учетом изменений, внесенных Постановлением Правительства РФ от 12 апреля 2024 г. № 461</w:t>
      </w:r>
      <w:r>
        <w:rPr>
          <w:rFonts w:ascii="Times New Roman" w:hAnsi="Times New Roman"/>
          <w:sz w:val="24"/>
          <w:szCs w:val="24"/>
          <w:highlight w:val="white"/>
        </w:rPr>
        <w:t xml:space="preserve"> в п. 88, 89</w:t>
      </w:r>
      <w:r>
        <w:rPr>
          <w:rFonts w:ascii="Times New Roman" w:hAnsi="Times New Roman"/>
          <w:sz w:val="24"/>
          <w:szCs w:val="24"/>
          <w:highlight w:val="white"/>
        </w:rPr>
        <w:t xml:space="preserve">, 91-94 Основных положений функционирования розничных рынков электрической энергии, утвержденных </w:t>
      </w: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04 мая 2012 г. № 442 (далее – Основные положения), </w:t>
      </w:r>
      <w:r>
        <w:rPr>
          <w:rFonts w:ascii="Times New Roman" w:hAnsi="Times New Roman"/>
          <w:sz w:val="24"/>
          <w:szCs w:val="24"/>
          <w:highlight w:val="white"/>
        </w:rPr>
        <w:t>структура предельного уровня нерегулируемых цен для 1-6 ценовых категорий</w:t>
      </w:r>
      <w:r>
        <w:rPr>
          <w:rFonts w:ascii="Times New Roman" w:hAnsi="Times New Roman"/>
          <w:sz w:val="24"/>
          <w:szCs w:val="24"/>
          <w:highlight w:val="white"/>
        </w:rPr>
        <w:t xml:space="preserve"> дополнена п</w:t>
      </w:r>
      <w:r>
        <w:rPr>
          <w:rFonts w:ascii="Times New Roman" w:hAnsi="Times New Roman"/>
          <w:sz w:val="24"/>
          <w:szCs w:val="24"/>
        </w:rPr>
        <w:t xml:space="preserve">латой за услуги по управлению режимами потребления электрической энергии  </w:t>
      </w:r>
    </w:p>
    <w:p w:rsidR="00A05FA4" w:rsidRDefault="00E35621">
      <w:pPr>
        <w:widowControl/>
        <w:ind w:firstLine="540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Информация о величине платы за услуги по управлению режимами потребления электрической энергии, определенной в соответствии с п. 101 </w:t>
      </w:r>
      <w:r>
        <w:rPr>
          <w:rFonts w:ascii="Times New Roman" w:hAnsi="Times New Roman"/>
          <w:sz w:val="24"/>
          <w:szCs w:val="24"/>
          <w:highlight w:val="white"/>
        </w:rPr>
        <w:t>Основных положений за 2024 год  разм</w:t>
      </w:r>
      <w:r>
        <w:rPr>
          <w:rFonts w:ascii="Times New Roman" w:hAnsi="Times New Roman"/>
          <w:sz w:val="24"/>
          <w:szCs w:val="24"/>
          <w:highlight w:val="white"/>
        </w:rPr>
        <w:t xml:space="preserve">ещена на официальном сайте Общества по </w:t>
      </w:r>
      <w:r>
        <w:rPr>
          <w:rFonts w:ascii="Times New Roman" w:hAnsi="Times New Roman"/>
          <w:sz w:val="24"/>
          <w:szCs w:val="24"/>
        </w:rPr>
        <w:t xml:space="preserve">адресу </w:t>
      </w:r>
      <w:hyperlink r:id="rId12" w:tooltip="https://www.saratovenergo.ru/yuridicheskim-litsam/raschet-stoimosti-elektroenergii/predelnye-urovni-svobodnykh-nereguliruemykh-tsen/archive-for-2024/" w:history="1">
        <w:r>
          <w:rPr>
            <w:rStyle w:val="af0"/>
            <w:rFonts w:ascii="Times New Roman" w:hAnsi="Times New Roman" w:cs="Arial"/>
            <w:sz w:val="24"/>
            <w:szCs w:val="24"/>
          </w:rPr>
          <w:t>https://www.saratovenergo.ru/yuridicheskim-litsam/raschet-stoimosti-elektroenergii/predelnye-urovni-svobodnykh-nereguliruemykh-tsen/archive-for-2</w:t>
        </w:r>
        <w:r>
          <w:rPr>
            <w:rStyle w:val="af0"/>
            <w:rFonts w:ascii="Times New Roman" w:hAnsi="Times New Roman" w:cs="Arial"/>
            <w:sz w:val="24"/>
            <w:szCs w:val="24"/>
          </w:rPr>
          <w:t>024/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05FA4" w:rsidRDefault="00A05FA4">
      <w:pPr>
        <w:ind w:firstLine="540"/>
        <w:rPr>
          <w:rFonts w:ascii="Times New Roman" w:hAnsi="Times New Roman"/>
          <w:sz w:val="24"/>
          <w:szCs w:val="24"/>
        </w:rPr>
      </w:pP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Сбытовые надбавки на 2024 год установлены Постановлениями КГРТ Саратовской области от 19 декабря 2023 года № 74 и составляют: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5244"/>
        <w:gridCol w:w="6836"/>
      </w:tblGrid>
      <w:tr w:rsidR="00A05FA4">
        <w:trPr>
          <w:trHeight w:val="193"/>
          <w:jc w:val="center"/>
        </w:trPr>
        <w:tc>
          <w:tcPr>
            <w:tcW w:w="7573" w:type="dxa"/>
            <w:gridSpan w:val="2"/>
          </w:tcPr>
          <w:p w:rsidR="00A05FA4" w:rsidRDefault="00E356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с 01 января по 30 июня 2024 года</w:t>
            </w:r>
          </w:p>
        </w:tc>
        <w:tc>
          <w:tcPr>
            <w:tcW w:w="6836" w:type="dxa"/>
          </w:tcPr>
          <w:p w:rsidR="00A05FA4" w:rsidRDefault="00E356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с 01 июля по 31 декабря 2024 года</w:t>
            </w:r>
          </w:p>
        </w:tc>
      </w:tr>
      <w:tr w:rsidR="00A05FA4">
        <w:trPr>
          <w:trHeight w:val="193"/>
          <w:jc w:val="center"/>
        </w:trPr>
        <w:tc>
          <w:tcPr>
            <w:tcW w:w="14409" w:type="dxa"/>
            <w:gridSpan w:val="3"/>
          </w:tcPr>
          <w:p w:rsidR="00A05FA4" w:rsidRDefault="00E356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 xml:space="preserve">Тарифная группа «население и приравненные к нему категории потребителей»,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/кВт*ч</w:t>
            </w:r>
          </w:p>
        </w:tc>
      </w:tr>
      <w:tr w:rsidR="00A05FA4">
        <w:trPr>
          <w:trHeight w:val="275"/>
          <w:jc w:val="center"/>
        </w:trPr>
        <w:tc>
          <w:tcPr>
            <w:tcW w:w="7573" w:type="dxa"/>
            <w:gridSpan w:val="2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>0,33655</w:t>
            </w:r>
          </w:p>
        </w:tc>
        <w:tc>
          <w:tcPr>
            <w:tcW w:w="6836" w:type="dxa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0,36078</w:t>
            </w:r>
          </w:p>
        </w:tc>
      </w:tr>
      <w:tr w:rsidR="00A05FA4">
        <w:trPr>
          <w:trHeight w:val="275"/>
          <w:jc w:val="center"/>
        </w:trPr>
        <w:tc>
          <w:tcPr>
            <w:tcW w:w="14409" w:type="dxa"/>
            <w:gridSpan w:val="3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 xml:space="preserve">Тарифная группа потребителей «сетевые организации, покупающие электрическую энергию для компенсации потерь электрической энергии»,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/кВт*ч</w:t>
            </w:r>
          </w:p>
        </w:tc>
      </w:tr>
      <w:tr w:rsidR="00A05FA4">
        <w:trPr>
          <w:trHeight w:val="350"/>
          <w:jc w:val="center"/>
        </w:trPr>
        <w:tc>
          <w:tcPr>
            <w:tcW w:w="7573" w:type="dxa"/>
            <w:gridSpan w:val="2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>0,33254</w:t>
            </w:r>
          </w:p>
        </w:tc>
        <w:tc>
          <w:tcPr>
            <w:tcW w:w="6836" w:type="dxa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>0,33254</w:t>
            </w:r>
          </w:p>
        </w:tc>
      </w:tr>
      <w:tr w:rsidR="00A05FA4">
        <w:trPr>
          <w:trHeight w:val="240"/>
          <w:jc w:val="center"/>
        </w:trPr>
        <w:tc>
          <w:tcPr>
            <w:tcW w:w="14409" w:type="dxa"/>
            <w:gridSpan w:val="3"/>
            <w:noWrap/>
            <w:vAlign w:val="center"/>
          </w:tcPr>
          <w:p w:rsidR="00A05FA4" w:rsidRDefault="00E35621">
            <w:pPr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 xml:space="preserve">Тарифная группа «прочие потребители»,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highlight w:val="white"/>
              </w:rPr>
              <w:t>/кВт*ч</w:t>
            </w:r>
          </w:p>
        </w:tc>
      </w:tr>
      <w:tr w:rsidR="00A05FA4">
        <w:trPr>
          <w:trHeight w:val="242"/>
          <w:jc w:val="center"/>
        </w:trPr>
        <w:tc>
          <w:tcPr>
            <w:tcW w:w="2329" w:type="dxa"/>
            <w:noWrap/>
            <w:vAlign w:val="center"/>
          </w:tcPr>
          <w:p w:rsidR="00A05FA4" w:rsidRDefault="00E35621">
            <w:pPr>
              <w:ind w:firstLine="142"/>
              <w:jc w:val="left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>Менее 670 кВт</w:t>
            </w:r>
          </w:p>
        </w:tc>
        <w:tc>
          <w:tcPr>
            <w:tcW w:w="5244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>0,62474</w:t>
            </w:r>
          </w:p>
        </w:tc>
        <w:tc>
          <w:tcPr>
            <w:tcW w:w="6836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0,65911</w:t>
            </w:r>
          </w:p>
        </w:tc>
      </w:tr>
      <w:tr w:rsidR="00A05FA4">
        <w:trPr>
          <w:trHeight w:val="273"/>
          <w:jc w:val="center"/>
        </w:trPr>
        <w:tc>
          <w:tcPr>
            <w:tcW w:w="2329" w:type="dxa"/>
            <w:noWrap/>
            <w:vAlign w:val="center"/>
          </w:tcPr>
          <w:p w:rsidR="00A05FA4" w:rsidRDefault="00E35621">
            <w:pPr>
              <w:ind w:firstLine="142"/>
              <w:jc w:val="left"/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  <w:t>От 670 кВт до 10 МВт</w:t>
            </w:r>
          </w:p>
        </w:tc>
        <w:tc>
          <w:tcPr>
            <w:tcW w:w="5244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  <w:t>0,42026</w:t>
            </w:r>
          </w:p>
        </w:tc>
        <w:tc>
          <w:tcPr>
            <w:tcW w:w="6836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0,44338</w:t>
            </w:r>
          </w:p>
        </w:tc>
      </w:tr>
      <w:tr w:rsidR="00A05FA4">
        <w:trPr>
          <w:trHeight w:val="273"/>
          <w:jc w:val="center"/>
        </w:trPr>
        <w:tc>
          <w:tcPr>
            <w:tcW w:w="2329" w:type="dxa"/>
            <w:noWrap/>
            <w:vAlign w:val="center"/>
          </w:tcPr>
          <w:p w:rsidR="00A05FA4" w:rsidRDefault="00E35621">
            <w:pPr>
              <w:ind w:firstLine="142"/>
              <w:jc w:val="left"/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  <w:t>Не менее 10 МВт</w:t>
            </w:r>
          </w:p>
        </w:tc>
        <w:tc>
          <w:tcPr>
            <w:tcW w:w="5244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highlight w:val="white"/>
              </w:rPr>
              <w:t>0,21085</w:t>
            </w:r>
          </w:p>
        </w:tc>
        <w:tc>
          <w:tcPr>
            <w:tcW w:w="6836" w:type="dxa"/>
            <w:vAlign w:val="center"/>
          </w:tcPr>
          <w:p w:rsidR="00A05FA4" w:rsidRDefault="00E35621">
            <w:pPr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0,22245</w:t>
            </w:r>
          </w:p>
        </w:tc>
      </w:tr>
    </w:tbl>
    <w:p w:rsidR="00A05FA4" w:rsidRDefault="00A05FA4">
      <w:pPr>
        <w:ind w:firstLine="540"/>
        <w:rPr>
          <w:rFonts w:ascii="Times New Roman" w:hAnsi="Times New Roman"/>
        </w:rPr>
      </w:pPr>
    </w:p>
    <w:p w:rsidR="00A05FA4" w:rsidRDefault="00E35621">
      <w:pPr>
        <w:widowControl/>
        <w:ind w:firstLine="54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lastRenderedPageBreak/>
        <w:t>Информация об установл</w:t>
      </w:r>
      <w:r>
        <w:rPr>
          <w:rFonts w:ascii="Times New Roman" w:hAnsi="Times New Roman"/>
          <w:sz w:val="24"/>
          <w:szCs w:val="24"/>
          <w:highlight w:val="white"/>
        </w:rPr>
        <w:t xml:space="preserve">енных сбытовых надбавках гарантирующих поставщиков электрической энергии Саратовской области в границах зоны их деятельности на период с 01 января 2024 года по 31 декабря 2024 года размещена на официальном сайте Общества по </w:t>
      </w:r>
      <w:r>
        <w:rPr>
          <w:rFonts w:ascii="Times New Roman" w:hAnsi="Times New Roman"/>
          <w:sz w:val="24"/>
          <w:szCs w:val="24"/>
        </w:rPr>
        <w:t xml:space="preserve">адресу </w:t>
      </w:r>
      <w:hyperlink r:id="rId13" w:tooltip="https://www.saratovenergo.ru/upload/docs/yuridicheskim-litsam/tarify/74.%20Сбытовые%20надбавки%20на%202024.pdf" w:history="1">
        <w:r>
          <w:rPr>
            <w:rStyle w:val="af0"/>
            <w:rFonts w:ascii="Times New Roman" w:hAnsi="Times New Roman" w:cs="Arial"/>
            <w:sz w:val="24"/>
            <w:szCs w:val="24"/>
          </w:rPr>
          <w:t>https://www.saratovenergo.ru/upload/do</w:t>
        </w:r>
        <w:r>
          <w:rPr>
            <w:rStyle w:val="af0"/>
            <w:rFonts w:ascii="Times New Roman" w:hAnsi="Times New Roman" w:cs="Arial"/>
            <w:sz w:val="24"/>
            <w:szCs w:val="24"/>
          </w:rPr>
          <w:t>cs/yuridicheskim-litsam/tarify/74.%20Сбытовые%20надбавки%20на%202024.pdf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05FA4" w:rsidRDefault="00E35621">
      <w:pPr>
        <w:ind w:firstLine="54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Фактический размер сбытовой надбавки по группе «население» за период с 01 января 2024 г. по 30 июня 2024 г. составил 0,36382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/кВт*ч., за период с 01 июля 2024 г. по 31 декабря 202</w:t>
      </w:r>
      <w:r>
        <w:rPr>
          <w:rFonts w:ascii="Times New Roman" w:hAnsi="Times New Roman"/>
          <w:sz w:val="24"/>
          <w:szCs w:val="24"/>
          <w:highlight w:val="white"/>
        </w:rPr>
        <w:t xml:space="preserve">4 г. - 0,38299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руб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>/кВт*ч.</w:t>
      </w:r>
    </w:p>
    <w:p w:rsidR="00A05FA4" w:rsidRDefault="00A05FA4">
      <w:pPr>
        <w:ind w:firstLine="709"/>
        <w:rPr>
          <w:rFonts w:ascii="Times New Roman" w:hAnsi="Times New Roman"/>
          <w:sz w:val="24"/>
          <w:szCs w:val="24"/>
          <w:highlight w:val="yellow"/>
        </w:rPr>
      </w:pPr>
    </w:p>
    <w:p w:rsidR="00A05FA4" w:rsidRDefault="00E35621">
      <w:pPr>
        <w:ind w:firstLine="709"/>
        <w:rPr>
          <w:rStyle w:val="af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условия договора купли-продажи электрической энергии приведены для различных категорий потребителей и  размещены на официальном сайте компании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4" w:tooltip="https://www.saratovenergo.ru/raskrytie-informatsii-garantiruyushchim-postavshchikom/the-main-terms-of-the-contract-of-purchase-and-sale/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</w:t>
        </w:r>
        <w:r>
          <w:rPr>
            <w:rStyle w:val="af0"/>
            <w:rFonts w:ascii="Times New Roman" w:hAnsi="Times New Roman"/>
            <w:sz w:val="24"/>
            <w:szCs w:val="24"/>
          </w:rPr>
          <w:t>u/raskrytie-informatsii-garantiruyushchim-postavshchikom/the-main-terms-of-the-contract-of-purchase-and-sale/</w:t>
        </w:r>
      </w:hyperlink>
      <w:r>
        <w:rPr>
          <w:rStyle w:val="af0"/>
        </w:rPr>
        <w:t xml:space="preserve">. </w:t>
      </w:r>
    </w:p>
    <w:p w:rsidR="00A05FA4" w:rsidRDefault="00E35621">
      <w:pPr>
        <w:ind w:firstLine="709"/>
        <w:rPr>
          <w:rStyle w:val="af0"/>
          <w:rFonts w:ascii="Times New Roman" w:hAnsi="Times New Roman"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Типовые формы договоров ПАО «Саратовэнерго» размещены на официальном сайте компании по адресу: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hyperlink r:id="rId15" w:tooltip="https://www.saratovenergo.ru/chastnym-litsam/tipovye-formy-dogovorov/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https://www.saratovenergo.ru/chastnym-litsam/tipovye-formy-dogovorov/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A05FA4" w:rsidRDefault="00E35621">
      <w:pPr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hyperlink r:id="rId16" w:tooltip="https://www.saratovenergo.ru/yuridicheskim-litsam/tipovye-formy-dogovorov/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https://www.saratovenergo.ru/yuridicheskim-litsam/tipovye-formy-dogovorov/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05FA4" w:rsidRDefault="00A05FA4">
      <w:pPr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05FA4" w:rsidRDefault="00E35621">
      <w:pPr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ПАО «Сар</w:t>
      </w:r>
      <w:r>
        <w:rPr>
          <w:rFonts w:ascii="Times New Roman" w:hAnsi="Times New Roman" w:cs="Times New Roman"/>
          <w:sz w:val="24"/>
          <w:szCs w:val="24"/>
        </w:rPr>
        <w:t>атовэнерго» большое внимание уделяет вопросам энергосбережения и повышения энергоэффективности своих потребителей. Во исполнение Федерального закона от 23 ноября 2009 года №261-ФЗ «Об энергосбережении и о повышении энергетической эффективности», ПАО «Сарат</w:t>
      </w:r>
      <w:r>
        <w:rPr>
          <w:rFonts w:ascii="Times New Roman" w:hAnsi="Times New Roman" w:cs="Times New Roman"/>
          <w:sz w:val="24"/>
          <w:szCs w:val="24"/>
        </w:rPr>
        <w:t xml:space="preserve">овэнерго» предлагает своим клиентам услуги по внедрению энергосберегающих технологий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контрактов, проведение энергоаудита, тепловизионного обследования,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электроизмерений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испытаний электрооборудования.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Основными целями энергосбережения предприятия являются: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повышение эффективности использования энергетических ресурсов на единицу продукта предприятия;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снижение финансовой нагрузки за счет сокращения платежей за топливо, тепловую и электрическую энер</w:t>
      </w:r>
      <w:r>
        <w:rPr>
          <w:rFonts w:ascii="Times New Roman" w:hAnsi="Times New Roman" w:cs="Times New Roman"/>
          <w:i/>
          <w:sz w:val="24"/>
          <w:szCs w:val="24"/>
        </w:rPr>
        <w:t xml:space="preserve">гию;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улучшение финансового состояния предприятия за счет снижения платежей за энергоресурсы и, соответственно, дополнительное пополнение бюджета области за счет налоговых поступлений.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Энергосбережение достигается путем внедрения эффективных технологий и</w:t>
      </w:r>
      <w:r>
        <w:rPr>
          <w:rFonts w:ascii="Times New Roman" w:hAnsi="Times New Roman" w:cs="Times New Roman"/>
          <w:sz w:val="24"/>
          <w:szCs w:val="24"/>
        </w:rPr>
        <w:t xml:space="preserve"> разработкой эффективных финансово-экономических механизмов производства, транспортирования и потребления энергетических ресурсов, проведения мероприятий по энергосбережению, внедрения систем учета.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Информация по вопросам энергосбережения и по возможным ва</w:t>
      </w:r>
      <w:r>
        <w:rPr>
          <w:rFonts w:ascii="Times New Roman" w:hAnsi="Times New Roman" w:cs="Times New Roman"/>
          <w:sz w:val="24"/>
          <w:szCs w:val="24"/>
        </w:rPr>
        <w:t>риантам повышения энергоэффективности размещена на официальном сайте компании по адресу: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7" w:tooltip="https://www.saratovenergo.ru/uslugi/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https://www.saratovenergo.ru/uslugi/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05FA4" w:rsidRDefault="00A05FA4">
      <w:pPr>
        <w:widowControl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A05FA4" w:rsidRDefault="00E35621">
      <w:pPr>
        <w:ind w:firstLine="709"/>
        <w:rPr>
          <w:rStyle w:val="af0"/>
        </w:rPr>
      </w:pPr>
      <w:r>
        <w:rPr>
          <w:rFonts w:ascii="Times New Roman" w:hAnsi="Times New Roman" w:cs="Times New Roman"/>
          <w:sz w:val="24"/>
          <w:szCs w:val="24"/>
        </w:rPr>
        <w:t>Для клиентов ПАО «Саратовэнерго»</w:t>
      </w:r>
      <w:r>
        <w:rPr>
          <w:rFonts w:ascii="Times New Roman" w:hAnsi="Times New Roman" w:cs="Times New Roman"/>
          <w:sz w:val="24"/>
          <w:szCs w:val="24"/>
        </w:rPr>
        <w:t xml:space="preserve"> работает телефон «горячей линии» 8 (8452) 69-45-45, Интернет-приёмная на официальном сайте по адресу:</w:t>
      </w:r>
      <w:r>
        <w:t xml:space="preserve"> </w:t>
      </w:r>
      <w:hyperlink r:id="rId18" w:tooltip="https://saratovenergo.ru/internet-priemnaya/" w:history="1">
        <w:r>
          <w:rPr>
            <w:rStyle w:val="af0"/>
            <w:rFonts w:ascii="Times New Roman" w:hAnsi="Times New Roman"/>
            <w:sz w:val="24"/>
            <w:szCs w:val="24"/>
          </w:rPr>
          <w:t>https://saratovenergo.ru/internet-priemnay</w:t>
        </w:r>
        <w:r>
          <w:rPr>
            <w:rStyle w:val="af0"/>
            <w:rFonts w:ascii="Times New Roman" w:hAnsi="Times New Roman"/>
            <w:sz w:val="24"/>
            <w:szCs w:val="24"/>
          </w:rPr>
          <w:t>a/</w:t>
        </w:r>
      </w:hyperlink>
      <w:r>
        <w:rPr>
          <w:rStyle w:val="af0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сервис «Личный кабинет для физических лиц»</w:t>
      </w:r>
      <w:r>
        <w:t xml:space="preserve"> </w:t>
      </w:r>
      <w:hyperlink r:id="rId19" w:tooltip="http://www.my.saratovenergo.ru/" w:history="1">
        <w:r>
          <w:rPr>
            <w:rStyle w:val="af0"/>
            <w:rFonts w:ascii="Times New Roman" w:hAnsi="Times New Roman"/>
            <w:bCs/>
            <w:color w:val="000000"/>
            <w:sz w:val="24"/>
            <w:szCs w:val="24"/>
          </w:rPr>
          <w:t>http://www.my.saratovenergo.ru/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, «Личный кабинет для юридических лиц» </w:t>
      </w:r>
      <w:hyperlink r:id="rId20" w:tooltip="https://lk.saratovenergo.ru/login" w:history="1">
        <w:r>
          <w:rPr>
            <w:rStyle w:val="af0"/>
            <w:rFonts w:ascii="Times New Roman" w:hAnsi="Times New Roman"/>
            <w:sz w:val="24"/>
            <w:szCs w:val="24"/>
          </w:rPr>
          <w:t>https://lk.saratovenergo.ru/login</w:t>
        </w:r>
      </w:hyperlink>
      <w:r>
        <w:rPr>
          <w:rStyle w:val="af0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официальные группы в соцсетях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odnoklassniki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онлайн-консультант в виде всплывающего окна на </w:t>
      </w:r>
      <w:hyperlink r:id="rId21" w:tooltip="https://www.saratovenergo.ru/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https://www.saratovenergo.ru/</w:t>
        </w:r>
      </w:hyperlink>
      <w:r>
        <w:rPr>
          <w:rStyle w:val="af0"/>
        </w:rPr>
        <w:t>.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граждан-потребителей есть возможность ежемесячно передавать показания приборов учета электроэнергии любым удобным  способом: по телефонам клиентских офисов, по электронной почте, через «Личный кабинет»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компании, по телефону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«горячей линии»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 (8452) 69-45-45</w:t>
      </w:r>
      <w:r>
        <w:rPr>
          <w:rFonts w:ascii="Times New Roman" w:hAnsi="Times New Roman" w:cs="Times New Roman"/>
          <w:sz w:val="24"/>
          <w:szCs w:val="24"/>
        </w:rPr>
        <w:t xml:space="preserve">, систему голосового меню (8452) 69-41-41, по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- единый номер для передачи показаний через </w:t>
      </w:r>
      <w:r>
        <w:rPr>
          <w:rFonts w:ascii="Times New Roman" w:hAnsi="Times New Roman" w:cs="Times New Roman"/>
          <w:sz w:val="24"/>
          <w:szCs w:val="24"/>
          <w:lang w:val="en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для всех клиентов-физических лиц:</w:t>
      </w:r>
      <w:r>
        <w:rPr>
          <w:rFonts w:ascii="Times New Roman" w:hAnsi="Times New Roman" w:cs="Times New Roman"/>
          <w:sz w:val="24"/>
          <w:szCs w:val="24"/>
          <w:lang w:val="en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ff9"/>
          <w:rFonts w:ascii="Times New Roman" w:hAnsi="Times New Roman" w:cs="Times New Roman"/>
          <w:i/>
          <w:iCs/>
          <w:sz w:val="24"/>
          <w:szCs w:val="24"/>
        </w:rPr>
        <w:t>8-927-277-34-11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способах передачи показаний приборов </w:t>
      </w:r>
      <w:r>
        <w:rPr>
          <w:rFonts w:ascii="Times New Roman" w:hAnsi="Times New Roman" w:cs="Times New Roman"/>
          <w:sz w:val="24"/>
          <w:szCs w:val="24"/>
        </w:rPr>
        <w:t>учета электроэнергии размещена на официальном сайте компании в разделе: Главная // Частным лицам // Прием показаний, по адресу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t xml:space="preserve"> </w:t>
      </w:r>
      <w:hyperlink r:id="rId22" w:tooltip="https://www.saratovenergo.ru/chastnym-litsam/priem-pokazaniy.php" w:history="1">
        <w:r>
          <w:rPr>
            <w:rStyle w:val="af0"/>
            <w:rFonts w:ascii="Times New Roman" w:hAnsi="Times New Roman"/>
            <w:sz w:val="24"/>
            <w:szCs w:val="24"/>
          </w:rPr>
          <w:t>https://www.saratovenergo.ru/chastnym-litsam/priem-pokazaniy.php</w:t>
        </w:r>
      </w:hyperlink>
      <w:r>
        <w:rPr>
          <w:rStyle w:val="af0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в платёжном документе, ежемесячно выставляемом гражданам-потребителям компании.</w:t>
      </w:r>
    </w:p>
    <w:p w:rsidR="00A05FA4" w:rsidRDefault="00A05FA4">
      <w:pPr>
        <w:widowControl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E35621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Информация о деятельности энергоснабжающей, энергосбытовой организации и гарантирующего поставщика</w:t>
      </w:r>
    </w:p>
    <w:p w:rsidR="00A05FA4" w:rsidRDefault="00E35621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информация о гарантирующем поставщике, включая зону его обслуживания, место нахождения, почтовый адрес, телефоны, факс, адрес электронной почты.</w:t>
      </w:r>
    </w:p>
    <w:p w:rsidR="00A05FA4" w:rsidRDefault="00A05FA4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sz w:val="24"/>
          <w:szCs w:val="24"/>
        </w:rPr>
        <w:t>о гарантирующем поставщике</w:t>
      </w:r>
      <w:r>
        <w:rPr>
          <w:rFonts w:ascii="Times New Roman" w:hAnsi="Times New Roman" w:cs="Times New Roman"/>
          <w:sz w:val="24"/>
          <w:szCs w:val="24"/>
        </w:rPr>
        <w:t>: Постановлением Комитета государственного регулирования тарифов Саратовской области от 23 октября 2006 г. ОАО «Саратовэнерго» присвоен статус гарантирующего поставщика. Приказом Федеральной службы по тарифам РФ от 12 февраля 2007</w:t>
      </w:r>
      <w:r>
        <w:rPr>
          <w:rFonts w:ascii="Times New Roman" w:hAnsi="Times New Roman" w:cs="Times New Roman"/>
          <w:sz w:val="24"/>
          <w:szCs w:val="24"/>
        </w:rPr>
        <w:t xml:space="preserve"> г. № 17-э ОАО «Саратовэнерго» включено в Федеральный информационный реестр гарантирующих поставщиков и зон их деятельности.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структуру компании входят управление и 7 межрайонных отделений, филиалы которых расположены во всех районных центрах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образований Саратовской области. </w:t>
      </w:r>
    </w:p>
    <w:p w:rsidR="00A05FA4" w:rsidRDefault="00E35621">
      <w:pPr>
        <w:ind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 размещена </w:t>
      </w:r>
      <w:hyperlink r:id="rId23" w:tooltip="https://www.saratovenergo.ru/about/contacts/territorial-divisions/" w:history="1">
        <w:r>
          <w:rPr>
            <w:rStyle w:val="12"/>
            <w:rFonts w:ascii="Times New Roman" w:hAnsi="Times New Roman"/>
            <w:sz w:val="24"/>
            <w:szCs w:val="24"/>
          </w:rPr>
          <w:t>https://www.saratovenergo.ru/abou</w:t>
        </w:r>
        <w:r>
          <w:rPr>
            <w:rStyle w:val="12"/>
            <w:rFonts w:ascii="Times New Roman" w:hAnsi="Times New Roman"/>
            <w:sz w:val="24"/>
            <w:szCs w:val="24"/>
          </w:rPr>
          <w:t>t/contacts/territorial-divisions/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05FA4" w:rsidRDefault="00A05FA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05FA4" w:rsidRDefault="00E35621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</w:rPr>
        <w:t>Саратовская область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г. Саратов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05FA4" w:rsidRDefault="00A05FA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Российская Федерация, 410002, Саратовская область, г. Саратов, ул. им. Мичурина И.В., д.166/168.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Тел: (8452) 57-35-73, факс: (8452) 573-599, электрон</w:t>
      </w:r>
      <w:r>
        <w:rPr>
          <w:rFonts w:ascii="Times New Roman" w:hAnsi="Times New Roman" w:cs="Times New Roman"/>
          <w:sz w:val="24"/>
          <w:szCs w:val="24"/>
        </w:rPr>
        <w:t xml:space="preserve">ная почта: </w:t>
      </w:r>
      <w:hyperlink r:id="rId24" w:tooltip="mailto:sar1-office@interrao.ru" w:history="1">
        <w:r>
          <w:rPr>
            <w:rStyle w:val="af0"/>
            <w:rFonts w:ascii="Times New Roman" w:hAnsi="Times New Roman"/>
            <w:sz w:val="24"/>
            <w:szCs w:val="24"/>
          </w:rPr>
          <w:t>sar1-office@interrao.ru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05FA4" w:rsidRDefault="00E35621">
      <w:pPr>
        <w:widowControl/>
        <w:ind w:firstLine="709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границах зоны деятельности гарантирующего поставщика: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границами зоны деятельности гарантирующего поставщика ПАО «Саратовэнерго» являются административные границы территории Саратовской области, за исключением зон деятельности следующих гарантирующих поставщиков: ООО «СПГЭС», ООО «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Русэнергосбыт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» (Постановление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комитета государственного регулирования тарифов Саратовской области от 23.10.2006 </w:t>
      </w:r>
      <w:r>
        <w:rPr>
          <w:rFonts w:ascii="Times New Roman" w:hAnsi="Times New Roman"/>
          <w:sz w:val="24"/>
          <w:szCs w:val="24"/>
          <w:highlight w:val="white"/>
        </w:rPr>
        <w:t>№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14/4 (ред. от 28.12.2016) «О присвоении статуса гарантирующего поставщика ПАО «Саратовэнерго»).</w:t>
      </w:r>
    </w:p>
    <w:p w:rsidR="00A05FA4" w:rsidRDefault="00A05FA4">
      <w:pPr>
        <w:ind w:firstLine="709"/>
        <w:rPr>
          <w:rFonts w:ascii="Times New Roman" w:hAnsi="Times New Roman"/>
          <w:sz w:val="24"/>
          <w:szCs w:val="24"/>
        </w:rPr>
      </w:pP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лицензий на осуществление соответствующего вида деятельности: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</w:t>
      </w:r>
      <w:r>
        <w:rPr>
          <w:rFonts w:ascii="Times New Roman" w:hAnsi="Times New Roman" w:cs="Times New Roman"/>
          <w:sz w:val="24"/>
          <w:szCs w:val="24"/>
        </w:rPr>
        <w:t>тельность по продаже электрической энергии гражданам не лицензируется.</w:t>
      </w:r>
    </w:p>
    <w:p w:rsidR="00A05FA4" w:rsidRDefault="00E3562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по реализации электрической энергии на розничном рынке потребителям - юридическим лицам не лицензируется.</w:t>
      </w:r>
    </w:p>
    <w:p w:rsidR="00A05FA4" w:rsidRDefault="00A05FA4">
      <w:pPr>
        <w:widowControl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05FA4" w:rsidRDefault="00E35621" w:rsidP="00E35621">
      <w:pPr>
        <w:widowControl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банковских реквизитах:</w:t>
      </w:r>
    </w:p>
    <w:p w:rsidR="00A05FA4" w:rsidRDefault="00E35621" w:rsidP="00E3562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ПАО «Саратовэнерго»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5FA4" w:rsidRDefault="00E35621" w:rsidP="00E35621">
      <w:pPr>
        <w:widowControl/>
        <w:ind w:left="709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410002,</w:t>
      </w:r>
      <w:r>
        <w:rPr>
          <w:rFonts w:ascii="Times New Roman" w:hAnsi="Times New Roman" w:cs="Times New Roman"/>
          <w:sz w:val="24"/>
          <w:szCs w:val="24"/>
        </w:rPr>
        <w:t xml:space="preserve"> Саратовская область, Г.О. город Саратов, г. Саратов, ул. им. Мичурина И.В., д. 166/168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 xml:space="preserve"> 1026402199636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ОКПО</w:t>
      </w:r>
      <w:r>
        <w:rPr>
          <w:rFonts w:ascii="Times New Roman" w:hAnsi="Times New Roman" w:cs="Times New Roman"/>
          <w:sz w:val="24"/>
          <w:szCs w:val="24"/>
        </w:rPr>
        <w:t xml:space="preserve"> 00103355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6450014808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КПП</w:t>
      </w:r>
      <w:r>
        <w:rPr>
          <w:rFonts w:ascii="Times New Roman" w:hAnsi="Times New Roman" w:cs="Times New Roman"/>
          <w:sz w:val="24"/>
          <w:szCs w:val="24"/>
        </w:rPr>
        <w:t xml:space="preserve"> 785150001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Р/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>  </w:t>
      </w:r>
      <w:r>
        <w:rPr>
          <w:rFonts w:ascii="Times New Roman" w:hAnsi="Times New Roman" w:cs="Times New Roman"/>
          <w:sz w:val="24"/>
          <w:szCs w:val="24"/>
        </w:rPr>
        <w:t xml:space="preserve"> 40702810940000073851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Банк:</w:t>
      </w:r>
      <w:r>
        <w:rPr>
          <w:rFonts w:ascii="Times New Roman" w:hAnsi="Times New Roman" w:cs="Times New Roman"/>
          <w:sz w:val="24"/>
          <w:szCs w:val="24"/>
        </w:rPr>
        <w:t xml:space="preserve"> ПАО Сбербанк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БИК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 </w:t>
      </w:r>
      <w:r>
        <w:rPr>
          <w:rFonts w:ascii="Times New Roman" w:hAnsi="Times New Roman" w:cs="Times New Roman"/>
          <w:sz w:val="24"/>
          <w:szCs w:val="24"/>
          <w:lang w:val="en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044525225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Кор/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30101810400000000225</w:t>
      </w:r>
    </w:p>
    <w:p w:rsidR="00A05FA4" w:rsidRDefault="00A05FA4">
      <w:pPr>
        <w:widowControl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5FA4" w:rsidRDefault="00E35621">
      <w:pPr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об изменении основных условий договора купли-продажи электрической энергии и условий обслуживания населения: </w:t>
      </w:r>
      <w:r>
        <w:rPr>
          <w:rFonts w:ascii="Times New Roman" w:hAnsi="Times New Roman" w:cs="Times New Roman"/>
          <w:sz w:val="24"/>
          <w:szCs w:val="24"/>
        </w:rPr>
        <w:t>изменения условий договора энергоснабжения и (или) купли-продажи электроэнергии и дополнения к нему производится путем заключения дополн</w:t>
      </w:r>
      <w:r>
        <w:rPr>
          <w:rFonts w:ascii="Times New Roman" w:hAnsi="Times New Roman" w:cs="Times New Roman"/>
          <w:sz w:val="24"/>
          <w:szCs w:val="24"/>
        </w:rPr>
        <w:t>ительных соглашений, подписанных обеими Сторонами, в течение всего срока действия договора.</w:t>
      </w:r>
    </w:p>
    <w:p w:rsidR="00A05FA4" w:rsidRDefault="00A05FA4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E35621">
      <w:pPr>
        <w:shd w:val="clear" w:color="FFFFFF" w:themeColor="background1" w:fill="FFFFFF" w:themeFill="background1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Информация об инвестиционной программе.</w:t>
      </w:r>
    </w:p>
    <w:p w:rsidR="00A05FA4" w:rsidRDefault="00A05FA4">
      <w:pPr>
        <w:shd w:val="clear" w:color="FFFFFF" w:themeColor="background1" w:fill="FFFFFF" w:themeFill="background1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 год Обществом осуществлены инвестиции в форме капитальных вложений в объеме:</w:t>
      </w:r>
    </w:p>
    <w:p w:rsidR="00A05FA4" w:rsidRDefault="00A05FA4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07"/>
        <w:gridCol w:w="2694"/>
      </w:tblGrid>
      <w:tr w:rsidR="00A05FA4">
        <w:trPr>
          <w:trHeight w:val="469"/>
        </w:trPr>
        <w:tc>
          <w:tcPr>
            <w:tcW w:w="11907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2694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Сумма, в тыс. руб.</w:t>
            </w:r>
          </w:p>
        </w:tc>
      </w:tr>
      <w:tr w:rsidR="00A05FA4">
        <w:trPr>
          <w:trHeight w:val="561"/>
        </w:trPr>
        <w:tc>
          <w:tcPr>
            <w:tcW w:w="11907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Финансирование, тыс. руб. с НДС</w:t>
            </w:r>
          </w:p>
        </w:tc>
        <w:tc>
          <w:tcPr>
            <w:tcW w:w="2694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241 542</w:t>
            </w:r>
          </w:p>
        </w:tc>
      </w:tr>
      <w:tr w:rsidR="00A05FA4">
        <w:trPr>
          <w:trHeight w:val="552"/>
        </w:trPr>
        <w:tc>
          <w:tcPr>
            <w:tcW w:w="11907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Освоение, тыс. руб. без НДС</w:t>
            </w:r>
          </w:p>
        </w:tc>
        <w:tc>
          <w:tcPr>
            <w:tcW w:w="2694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185 923</w:t>
            </w:r>
          </w:p>
        </w:tc>
      </w:tr>
      <w:tr w:rsidR="00A05FA4">
        <w:trPr>
          <w:trHeight w:val="418"/>
        </w:trPr>
        <w:tc>
          <w:tcPr>
            <w:tcW w:w="11907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Ввод в ОС, тыс. руб. без НДС</w:t>
            </w:r>
          </w:p>
        </w:tc>
        <w:tc>
          <w:tcPr>
            <w:tcW w:w="2694" w:type="dxa"/>
          </w:tcPr>
          <w:p w:rsidR="00A05FA4" w:rsidRDefault="00E35621">
            <w:pPr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185 923</w:t>
            </w:r>
          </w:p>
        </w:tc>
      </w:tr>
    </w:tbl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Инвестиции представлены по следующим основным направлениям: </w:t>
      </w:r>
    </w:p>
    <w:p w:rsidR="00A05FA4" w:rsidRDefault="00A05FA4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учета электрической энергии потребителей Общества в части выполнения предусмотренных пунктом 5 статьи 37 Федерального закона «</w:t>
      </w:r>
      <w:r>
        <w:rPr>
          <w:rFonts w:ascii="Times New Roman" w:hAnsi="Times New Roman" w:cs="Times New Roman"/>
          <w:sz w:val="24"/>
          <w:szCs w:val="24"/>
        </w:rPr>
        <w:t>Об электроэнергетике»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 xml:space="preserve"> обязанностей гарантирующего поставщика по обеспечению коммерческого учета электрической энергии</w:t>
      </w:r>
      <w:r>
        <w:rPr>
          <w:rFonts w:ascii="Times New Roman" w:hAnsi="Times New Roman" w:cs="Times New Roman"/>
          <w:sz w:val="24"/>
          <w:szCs w:val="24"/>
        </w:rPr>
        <w:t xml:space="preserve"> (мощности);</w:t>
      </w: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-программное обеспечение;</w:t>
      </w: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-обеспечение расширения функциональных возможностей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биллинговых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 для повышения эффективности расчетов.</w:t>
      </w:r>
    </w:p>
    <w:p w:rsidR="00A05FA4" w:rsidRDefault="00A05FA4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Инвестирование в приобретение объектов основных средств и нематериальных активов</w:t>
      </w:r>
      <w:r>
        <w:rPr>
          <w:rFonts w:ascii="Times New Roman" w:hAnsi="Times New Roman" w:cs="Times New Roman"/>
          <w:sz w:val="24"/>
          <w:szCs w:val="24"/>
        </w:rPr>
        <w:t xml:space="preserve"> (финансирование, в тыс. руб. с НДС)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осуществлялось за счет следующих средств: </w:t>
      </w: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-текущих амортизационных отчислений, учтенных в ценах (тарифах) по основному виду деятельности – 83 814 тыс. руб.;</w:t>
      </w: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-прибыли, направленной на инвестиции по основному виду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– 121 465 тыс. руб.; </w:t>
      </w: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-кроме того источник финансирования - НДС составил 36 263 тыс. руб.</w:t>
      </w:r>
    </w:p>
    <w:p w:rsidR="00A05FA4" w:rsidRDefault="00A05FA4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источники инвестиционной программы Общества утверждены приказом Министерства промышленности и энергетики Саратовской области от 01.07.2024 года № 133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05FA4" w:rsidRDefault="00A05FA4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5FA4" w:rsidRDefault="00E35621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подробно ознакомиться с годовым отчетом об исполнении инвестиционной программы можно по ссылке: https://invest.gosuslugi.ru/investportal/ipr/05722/ОИПРОРВД за 2024 год.zip/v1/ОИПРОРВД за 2024 год.zip</w:t>
      </w:r>
    </w:p>
    <w:sectPr w:rsidR="00A05FA4">
      <w:footerReference w:type="even" r:id="rId25"/>
      <w:footerReference w:type="default" r:id="rId26"/>
      <w:headerReference w:type="first" r:id="rId27"/>
      <w:pgSz w:w="16838" w:h="11906" w:orient="landscape"/>
      <w:pgMar w:top="1351" w:right="822" w:bottom="57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FA4" w:rsidRDefault="00E35621">
      <w:r>
        <w:separator/>
      </w:r>
    </w:p>
  </w:endnote>
  <w:endnote w:type="continuationSeparator" w:id="0">
    <w:p w:rsidR="00A05FA4" w:rsidRDefault="00E3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A4" w:rsidRDefault="00E35621">
    <w:pPr>
      <w:pStyle w:val="ac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A05FA4" w:rsidRDefault="00A05FA4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A4" w:rsidRDefault="00E35621">
    <w:pPr>
      <w:pStyle w:val="ac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separate"/>
    </w:r>
    <w:r>
      <w:rPr>
        <w:rStyle w:val="aff2"/>
      </w:rPr>
      <w:t>10</w:t>
    </w:r>
    <w:r>
      <w:rPr>
        <w:rStyle w:val="aff2"/>
      </w:rPr>
      <w:fldChar w:fldCharType="end"/>
    </w:r>
  </w:p>
  <w:p w:rsidR="00A05FA4" w:rsidRDefault="00A05FA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FA4" w:rsidRDefault="00E35621">
      <w:r>
        <w:separator/>
      </w:r>
    </w:p>
  </w:footnote>
  <w:footnote w:type="continuationSeparator" w:id="0">
    <w:p w:rsidR="00A05FA4" w:rsidRDefault="00E35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A4" w:rsidRDefault="00E35621">
    <w:pPr>
      <w:pStyle w:val="aa"/>
      <w:jc w:val="center"/>
    </w:pPr>
    <w:r>
      <w:rPr>
        <w:rFonts w:ascii="Tahoma" w:hAnsi="Tahoma" w:cs="Tahoma"/>
        <w:noProof/>
      </w:rPr>
      <w:drawing>
        <wp:inline distT="0" distB="0" distL="0" distR="0">
          <wp:extent cx="3312008" cy="615506"/>
          <wp:effectExtent l="0" t="0" r="0" b="0"/>
          <wp:docPr id="1" name="_x0000_i1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312008" cy="615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918"/>
    <w:multiLevelType w:val="hybridMultilevel"/>
    <w:tmpl w:val="2676BFA0"/>
    <w:lvl w:ilvl="0" w:tplc="D70A2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DD86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FF4CC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0E20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2A9A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8B846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E6A2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52C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8643D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56828CB"/>
    <w:multiLevelType w:val="hybridMultilevel"/>
    <w:tmpl w:val="543292F6"/>
    <w:lvl w:ilvl="0" w:tplc="4AD43468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C4A0AF1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74DC93A0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0E3693F0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C3CE51A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AF3ADB8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18502122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877C165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63BED56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6662241"/>
    <w:multiLevelType w:val="hybridMultilevel"/>
    <w:tmpl w:val="B680BDD6"/>
    <w:lvl w:ilvl="0" w:tplc="42784130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2F24BCDC">
      <w:start w:val="1"/>
      <w:numFmt w:val="lowerLetter"/>
      <w:lvlText w:val="%2."/>
      <w:lvlJc w:val="left"/>
      <w:pPr>
        <w:tabs>
          <w:tab w:val="num" w:pos="2050"/>
        </w:tabs>
        <w:ind w:left="2050" w:hanging="360"/>
      </w:pPr>
    </w:lvl>
    <w:lvl w:ilvl="2" w:tplc="B7C822D6">
      <w:start w:val="1"/>
      <w:numFmt w:val="lowerRoman"/>
      <w:lvlText w:val="%3."/>
      <w:lvlJc w:val="right"/>
      <w:pPr>
        <w:tabs>
          <w:tab w:val="num" w:pos="2770"/>
        </w:tabs>
        <w:ind w:left="2770" w:hanging="180"/>
      </w:pPr>
    </w:lvl>
    <w:lvl w:ilvl="3" w:tplc="F02C7AC6">
      <w:start w:val="1"/>
      <w:numFmt w:val="decimal"/>
      <w:lvlText w:val="%4."/>
      <w:lvlJc w:val="left"/>
      <w:pPr>
        <w:tabs>
          <w:tab w:val="num" w:pos="3490"/>
        </w:tabs>
        <w:ind w:left="3490" w:hanging="360"/>
      </w:pPr>
    </w:lvl>
    <w:lvl w:ilvl="4" w:tplc="758878BC">
      <w:start w:val="1"/>
      <w:numFmt w:val="lowerLetter"/>
      <w:lvlText w:val="%5."/>
      <w:lvlJc w:val="left"/>
      <w:pPr>
        <w:tabs>
          <w:tab w:val="num" w:pos="4210"/>
        </w:tabs>
        <w:ind w:left="4210" w:hanging="360"/>
      </w:pPr>
    </w:lvl>
    <w:lvl w:ilvl="5" w:tplc="56B83330">
      <w:start w:val="1"/>
      <w:numFmt w:val="lowerRoman"/>
      <w:lvlText w:val="%6."/>
      <w:lvlJc w:val="right"/>
      <w:pPr>
        <w:tabs>
          <w:tab w:val="num" w:pos="4930"/>
        </w:tabs>
        <w:ind w:left="4930" w:hanging="180"/>
      </w:pPr>
    </w:lvl>
    <w:lvl w:ilvl="6" w:tplc="2A72CD16">
      <w:start w:val="1"/>
      <w:numFmt w:val="decimal"/>
      <w:lvlText w:val="%7."/>
      <w:lvlJc w:val="left"/>
      <w:pPr>
        <w:tabs>
          <w:tab w:val="num" w:pos="5650"/>
        </w:tabs>
        <w:ind w:left="5650" w:hanging="360"/>
      </w:pPr>
    </w:lvl>
    <w:lvl w:ilvl="7" w:tplc="5B0AF706">
      <w:start w:val="1"/>
      <w:numFmt w:val="lowerLetter"/>
      <w:lvlText w:val="%8."/>
      <w:lvlJc w:val="left"/>
      <w:pPr>
        <w:tabs>
          <w:tab w:val="num" w:pos="6370"/>
        </w:tabs>
        <w:ind w:left="6370" w:hanging="360"/>
      </w:pPr>
    </w:lvl>
    <w:lvl w:ilvl="8" w:tplc="39B65AC8">
      <w:start w:val="1"/>
      <w:numFmt w:val="lowerRoman"/>
      <w:lvlText w:val="%9."/>
      <w:lvlJc w:val="right"/>
      <w:pPr>
        <w:tabs>
          <w:tab w:val="num" w:pos="7090"/>
        </w:tabs>
        <w:ind w:left="7090" w:hanging="180"/>
      </w:pPr>
    </w:lvl>
  </w:abstractNum>
  <w:abstractNum w:abstractNumId="3" w15:restartNumberingAfterBreak="0">
    <w:nsid w:val="07FE5648"/>
    <w:multiLevelType w:val="hybridMultilevel"/>
    <w:tmpl w:val="9278B164"/>
    <w:lvl w:ilvl="0" w:tplc="CE1EFC0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/>
      </w:rPr>
    </w:lvl>
    <w:lvl w:ilvl="1" w:tplc="B932236C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4E384B1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F83A557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4836A10E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44A2521E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C7A4880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E162F324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4B0EF07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4" w15:restartNumberingAfterBreak="0">
    <w:nsid w:val="08640307"/>
    <w:multiLevelType w:val="hybridMultilevel"/>
    <w:tmpl w:val="8A6E0C78"/>
    <w:lvl w:ilvl="0" w:tplc="D342439E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809E8A38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1744E16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E56C09C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2828F7DE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8806B56A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509AB260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BEF43D9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BD2E350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8AC55DE"/>
    <w:multiLevelType w:val="hybridMultilevel"/>
    <w:tmpl w:val="E04C7732"/>
    <w:lvl w:ilvl="0" w:tplc="58BCB4CC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/>
      </w:rPr>
    </w:lvl>
    <w:lvl w:ilvl="1" w:tplc="AA3655A6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/>
      </w:rPr>
    </w:lvl>
    <w:lvl w:ilvl="2" w:tplc="3F4E151A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0F14D7AA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350ED702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/>
      </w:rPr>
    </w:lvl>
    <w:lvl w:ilvl="5" w:tplc="15F0E27C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71B2298E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785E528C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/>
      </w:rPr>
    </w:lvl>
    <w:lvl w:ilvl="8" w:tplc="2A80B54A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6" w15:restartNumberingAfterBreak="0">
    <w:nsid w:val="0C413DE0"/>
    <w:multiLevelType w:val="hybridMultilevel"/>
    <w:tmpl w:val="18549808"/>
    <w:lvl w:ilvl="0" w:tplc="0E9CEA0E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CD888BE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2E4A12C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5DA6146A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A49473CE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2EDC21F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607C13B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EF60DE2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C5A02D0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D022EC9"/>
    <w:multiLevelType w:val="hybridMultilevel"/>
    <w:tmpl w:val="3C563B3C"/>
    <w:lvl w:ilvl="0" w:tplc="E2F2FA02">
      <w:start w:val="1"/>
      <w:numFmt w:val="decimal"/>
      <w:lvlText w:val="%1."/>
      <w:lvlJc w:val="left"/>
      <w:pPr>
        <w:ind w:left="1069" w:hanging="360"/>
      </w:pPr>
    </w:lvl>
    <w:lvl w:ilvl="1" w:tplc="A04C305A">
      <w:start w:val="1"/>
      <w:numFmt w:val="lowerLetter"/>
      <w:lvlText w:val="%2."/>
      <w:lvlJc w:val="left"/>
      <w:pPr>
        <w:ind w:left="1789" w:hanging="360"/>
      </w:pPr>
    </w:lvl>
    <w:lvl w:ilvl="2" w:tplc="626E8306">
      <w:start w:val="1"/>
      <w:numFmt w:val="lowerRoman"/>
      <w:lvlText w:val="%3."/>
      <w:lvlJc w:val="right"/>
      <w:pPr>
        <w:ind w:left="2509" w:hanging="180"/>
      </w:pPr>
    </w:lvl>
    <w:lvl w:ilvl="3" w:tplc="14AEA3EC">
      <w:start w:val="1"/>
      <w:numFmt w:val="decimal"/>
      <w:lvlText w:val="%4."/>
      <w:lvlJc w:val="left"/>
      <w:pPr>
        <w:ind w:left="3229" w:hanging="360"/>
      </w:pPr>
    </w:lvl>
    <w:lvl w:ilvl="4" w:tplc="1736EB04">
      <w:start w:val="1"/>
      <w:numFmt w:val="lowerLetter"/>
      <w:lvlText w:val="%5."/>
      <w:lvlJc w:val="left"/>
      <w:pPr>
        <w:ind w:left="3949" w:hanging="360"/>
      </w:pPr>
    </w:lvl>
    <w:lvl w:ilvl="5" w:tplc="9B325964">
      <w:start w:val="1"/>
      <w:numFmt w:val="lowerRoman"/>
      <w:lvlText w:val="%6."/>
      <w:lvlJc w:val="right"/>
      <w:pPr>
        <w:ind w:left="4669" w:hanging="180"/>
      </w:pPr>
    </w:lvl>
    <w:lvl w:ilvl="6" w:tplc="A3020FC0">
      <w:start w:val="1"/>
      <w:numFmt w:val="decimal"/>
      <w:lvlText w:val="%7."/>
      <w:lvlJc w:val="left"/>
      <w:pPr>
        <w:ind w:left="5389" w:hanging="360"/>
      </w:pPr>
    </w:lvl>
    <w:lvl w:ilvl="7" w:tplc="BEBE2D80">
      <w:start w:val="1"/>
      <w:numFmt w:val="lowerLetter"/>
      <w:lvlText w:val="%8."/>
      <w:lvlJc w:val="left"/>
      <w:pPr>
        <w:ind w:left="6109" w:hanging="360"/>
      </w:pPr>
    </w:lvl>
    <w:lvl w:ilvl="8" w:tplc="F746C906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3521B9"/>
    <w:multiLevelType w:val="hybridMultilevel"/>
    <w:tmpl w:val="CDCCB87C"/>
    <w:lvl w:ilvl="0" w:tplc="19567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90C5D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584B4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A827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DA6E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5AA80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22EB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BC46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40607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3CD44BE"/>
    <w:multiLevelType w:val="hybridMultilevel"/>
    <w:tmpl w:val="ED28C5D4"/>
    <w:lvl w:ilvl="0" w:tplc="CA3AD1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16CA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C25E18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A0AE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1CDE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C7E5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04DA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5C82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A744A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13E973F9"/>
    <w:multiLevelType w:val="hybridMultilevel"/>
    <w:tmpl w:val="D324970A"/>
    <w:lvl w:ilvl="0" w:tplc="ECBEF3D2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4B00AA9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CEE6D9C2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8A382D90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49FE1C9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983CD8D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1F520A0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BE1CEE6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21562C5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172B0983"/>
    <w:multiLevelType w:val="hybridMultilevel"/>
    <w:tmpl w:val="3160AB48"/>
    <w:lvl w:ilvl="0" w:tplc="8D1031FC">
      <w:start w:val="1"/>
      <w:numFmt w:val="bullet"/>
      <w:lvlText w:val=""/>
      <w:lvlJc w:val="left"/>
      <w:pPr>
        <w:tabs>
          <w:tab w:val="num" w:pos="1307"/>
        </w:tabs>
        <w:ind w:left="1324" w:hanging="397"/>
      </w:pPr>
      <w:rPr>
        <w:rFonts w:ascii="Symbol" w:hAnsi="Symbol"/>
        <w:color w:val="000000"/>
      </w:rPr>
    </w:lvl>
    <w:lvl w:ilvl="1" w:tplc="1F405A3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 w:tplc="4E64CEC8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 w:tplc="85045B3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 w:tplc="132A70D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 w:tplc="17CA0118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 w:tplc="70784A6A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 w:tplc="42701970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 w:tplc="49ACDEE2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2" w15:restartNumberingAfterBreak="0">
    <w:nsid w:val="19B32BA2"/>
    <w:multiLevelType w:val="hybridMultilevel"/>
    <w:tmpl w:val="41827654"/>
    <w:lvl w:ilvl="0" w:tplc="E018B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35069BC">
      <w:start w:val="1"/>
      <w:numFmt w:val="lowerLetter"/>
      <w:lvlText w:val="%2."/>
      <w:lvlJc w:val="left"/>
      <w:pPr>
        <w:tabs>
          <w:tab w:val="num" w:pos="2050"/>
        </w:tabs>
        <w:ind w:left="2050" w:hanging="360"/>
      </w:pPr>
    </w:lvl>
    <w:lvl w:ilvl="2" w:tplc="AA5E75DA">
      <w:start w:val="1"/>
      <w:numFmt w:val="lowerRoman"/>
      <w:lvlText w:val="%3."/>
      <w:lvlJc w:val="right"/>
      <w:pPr>
        <w:tabs>
          <w:tab w:val="num" w:pos="2770"/>
        </w:tabs>
        <w:ind w:left="2770" w:hanging="180"/>
      </w:pPr>
    </w:lvl>
    <w:lvl w:ilvl="3" w:tplc="86E8E12C">
      <w:start w:val="1"/>
      <w:numFmt w:val="decimal"/>
      <w:lvlText w:val="%4."/>
      <w:lvlJc w:val="left"/>
      <w:pPr>
        <w:tabs>
          <w:tab w:val="num" w:pos="3490"/>
        </w:tabs>
        <w:ind w:left="3490" w:hanging="360"/>
      </w:pPr>
    </w:lvl>
    <w:lvl w:ilvl="4" w:tplc="16CE2CA0">
      <w:start w:val="1"/>
      <w:numFmt w:val="lowerLetter"/>
      <w:lvlText w:val="%5."/>
      <w:lvlJc w:val="left"/>
      <w:pPr>
        <w:tabs>
          <w:tab w:val="num" w:pos="4210"/>
        </w:tabs>
        <w:ind w:left="4210" w:hanging="360"/>
      </w:pPr>
    </w:lvl>
    <w:lvl w:ilvl="5" w:tplc="591AD2CA">
      <w:start w:val="1"/>
      <w:numFmt w:val="lowerRoman"/>
      <w:lvlText w:val="%6."/>
      <w:lvlJc w:val="right"/>
      <w:pPr>
        <w:tabs>
          <w:tab w:val="num" w:pos="4930"/>
        </w:tabs>
        <w:ind w:left="4930" w:hanging="180"/>
      </w:pPr>
    </w:lvl>
    <w:lvl w:ilvl="6" w:tplc="44E209DC">
      <w:start w:val="1"/>
      <w:numFmt w:val="decimal"/>
      <w:lvlText w:val="%7."/>
      <w:lvlJc w:val="left"/>
      <w:pPr>
        <w:tabs>
          <w:tab w:val="num" w:pos="5650"/>
        </w:tabs>
        <w:ind w:left="5650" w:hanging="360"/>
      </w:pPr>
    </w:lvl>
    <w:lvl w:ilvl="7" w:tplc="95F2D95A">
      <w:start w:val="1"/>
      <w:numFmt w:val="lowerLetter"/>
      <w:lvlText w:val="%8."/>
      <w:lvlJc w:val="left"/>
      <w:pPr>
        <w:tabs>
          <w:tab w:val="num" w:pos="6370"/>
        </w:tabs>
        <w:ind w:left="6370" w:hanging="360"/>
      </w:pPr>
    </w:lvl>
    <w:lvl w:ilvl="8" w:tplc="CBCCF008">
      <w:start w:val="1"/>
      <w:numFmt w:val="lowerRoman"/>
      <w:lvlText w:val="%9."/>
      <w:lvlJc w:val="right"/>
      <w:pPr>
        <w:tabs>
          <w:tab w:val="num" w:pos="7090"/>
        </w:tabs>
        <w:ind w:left="7090" w:hanging="180"/>
      </w:pPr>
    </w:lvl>
  </w:abstractNum>
  <w:abstractNum w:abstractNumId="13" w15:restartNumberingAfterBreak="0">
    <w:nsid w:val="1A223C34"/>
    <w:multiLevelType w:val="hybridMultilevel"/>
    <w:tmpl w:val="D402001A"/>
    <w:lvl w:ilvl="0" w:tplc="4D68F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120A3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26C3B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6E62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8625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940CA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62F2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0AD7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9FEF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1E497EC4"/>
    <w:multiLevelType w:val="hybridMultilevel"/>
    <w:tmpl w:val="F092C7FE"/>
    <w:lvl w:ilvl="0" w:tplc="10F4B59C">
      <w:start w:val="1"/>
      <w:numFmt w:val="decimal"/>
      <w:lvlText w:val="%1."/>
      <w:lvlJc w:val="left"/>
    </w:lvl>
    <w:lvl w:ilvl="1" w:tplc="C450D1B0">
      <w:start w:val="1"/>
      <w:numFmt w:val="lowerLetter"/>
      <w:lvlText w:val="%2."/>
      <w:lvlJc w:val="left"/>
    </w:lvl>
    <w:lvl w:ilvl="2" w:tplc="06809914">
      <w:start w:val="1"/>
      <w:numFmt w:val="lowerRoman"/>
      <w:lvlText w:val="%3."/>
      <w:lvlJc w:val="left"/>
    </w:lvl>
    <w:lvl w:ilvl="3" w:tplc="FBC2FFDE">
      <w:start w:val="1"/>
      <w:numFmt w:val="decimal"/>
      <w:lvlText w:val="%4."/>
      <w:lvlJc w:val="left"/>
    </w:lvl>
    <w:lvl w:ilvl="4" w:tplc="758ABD72">
      <w:start w:val="1"/>
      <w:numFmt w:val="lowerLetter"/>
      <w:lvlText w:val="%5."/>
      <w:lvlJc w:val="left"/>
    </w:lvl>
    <w:lvl w:ilvl="5" w:tplc="70BEB3E8">
      <w:start w:val="1"/>
      <w:numFmt w:val="lowerRoman"/>
      <w:lvlText w:val="%6."/>
      <w:lvlJc w:val="left"/>
    </w:lvl>
    <w:lvl w:ilvl="6" w:tplc="3D265EF0">
      <w:start w:val="1"/>
      <w:numFmt w:val="decimal"/>
      <w:lvlText w:val="%7."/>
      <w:lvlJc w:val="left"/>
    </w:lvl>
    <w:lvl w:ilvl="7" w:tplc="95E611A4">
      <w:start w:val="1"/>
      <w:numFmt w:val="lowerLetter"/>
      <w:lvlText w:val="%8."/>
      <w:lvlJc w:val="left"/>
    </w:lvl>
    <w:lvl w:ilvl="8" w:tplc="3B5492AA">
      <w:start w:val="1"/>
      <w:numFmt w:val="lowerRoman"/>
      <w:lvlText w:val="%9."/>
      <w:lvlJc w:val="left"/>
    </w:lvl>
  </w:abstractNum>
  <w:abstractNum w:abstractNumId="15" w15:restartNumberingAfterBreak="0">
    <w:nsid w:val="20AE782D"/>
    <w:multiLevelType w:val="hybridMultilevel"/>
    <w:tmpl w:val="473E6C1C"/>
    <w:lvl w:ilvl="0" w:tplc="0E9615D2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7E48388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C8A28CC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6080A076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3B4E8658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7AE2A50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8B06FEC6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A9B8729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476C69E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7675F92"/>
    <w:multiLevelType w:val="hybridMultilevel"/>
    <w:tmpl w:val="51942DA2"/>
    <w:lvl w:ilvl="0" w:tplc="F4B68FA4">
      <w:start w:val="1"/>
      <w:numFmt w:val="bullet"/>
      <w:lvlText w:val="-"/>
      <w:lvlJc w:val="left"/>
    </w:lvl>
    <w:lvl w:ilvl="1" w:tplc="2ED04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2CCF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E876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E022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3AC1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483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B62A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6A50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EAE0079"/>
    <w:multiLevelType w:val="hybridMultilevel"/>
    <w:tmpl w:val="844AA9F8"/>
    <w:lvl w:ilvl="0" w:tplc="03E6D3C4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A0C2CAA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F3FA6AA6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D4E61F1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E640DF0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4790B3E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236C44E2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01B6E4F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4DE250A6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111110F"/>
    <w:multiLevelType w:val="hybridMultilevel"/>
    <w:tmpl w:val="4532F128"/>
    <w:lvl w:ilvl="0" w:tplc="497EB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56EA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FB01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84DC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8641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FB6C6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388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AD7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09EE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335868F5"/>
    <w:multiLevelType w:val="hybridMultilevel"/>
    <w:tmpl w:val="879CCD1C"/>
    <w:lvl w:ilvl="0" w:tplc="3D5447C6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0254AD2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0084339A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02DAB00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5A90BA72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5C8CD4C2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A6A0B05E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82465EA8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D3B2E1DA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363C5B48"/>
    <w:multiLevelType w:val="hybridMultilevel"/>
    <w:tmpl w:val="5FF4751E"/>
    <w:lvl w:ilvl="0" w:tplc="73F639D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AE1AD0D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2741CF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0B8348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CA845C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FCB24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AFA0F6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8C666B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734522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38AF597B"/>
    <w:multiLevelType w:val="hybridMultilevel"/>
    <w:tmpl w:val="3602678E"/>
    <w:lvl w:ilvl="0" w:tplc="5352FF60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 w:tplc="89A05E2E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80D859B6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2B5853D8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FF5E45B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5BC6481E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280A5AE2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149C2A36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C83E78DC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2" w15:restartNumberingAfterBreak="0">
    <w:nsid w:val="3F9A3FD2"/>
    <w:multiLevelType w:val="hybridMultilevel"/>
    <w:tmpl w:val="3D625376"/>
    <w:lvl w:ilvl="0" w:tplc="51BC209C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720EF72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9B92BE5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C90EDC5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5BD0CFA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5F2454F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8DA694C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D92610A8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46768D2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99A5E93"/>
    <w:multiLevelType w:val="multilevel"/>
    <w:tmpl w:val="F7D434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1CF2AE9"/>
    <w:multiLevelType w:val="hybridMultilevel"/>
    <w:tmpl w:val="CBE247C6"/>
    <w:lvl w:ilvl="0" w:tplc="F87EBCF6">
      <w:start w:val="1"/>
      <w:numFmt w:val="bullet"/>
      <w:lvlText w:val=""/>
      <w:lvlJc w:val="left"/>
      <w:pPr>
        <w:tabs>
          <w:tab w:val="num" w:pos="1460"/>
        </w:tabs>
        <w:ind w:left="1477" w:hanging="397"/>
      </w:pPr>
      <w:rPr>
        <w:rFonts w:ascii="Symbol" w:hAnsi="Symbol"/>
        <w:color w:val="000000"/>
      </w:rPr>
    </w:lvl>
    <w:lvl w:ilvl="1" w:tplc="B9A0B88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AFF25A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52EA6F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49C693C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DDC2D4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F20DDB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9FB0AA5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3F2CD08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5" w15:restartNumberingAfterBreak="0">
    <w:nsid w:val="565E1BCA"/>
    <w:multiLevelType w:val="hybridMultilevel"/>
    <w:tmpl w:val="A8A65560"/>
    <w:lvl w:ilvl="0" w:tplc="AFCA5EFA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1" w:tplc="FAEA7B90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/>
      </w:rPr>
    </w:lvl>
    <w:lvl w:ilvl="2" w:tplc="D1DEAB48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/>
      </w:rPr>
    </w:lvl>
    <w:lvl w:ilvl="3" w:tplc="758A8EEA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/>
      </w:rPr>
    </w:lvl>
    <w:lvl w:ilvl="4" w:tplc="3F88947E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/>
      </w:rPr>
    </w:lvl>
    <w:lvl w:ilvl="5" w:tplc="371C9EBA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/>
      </w:rPr>
    </w:lvl>
    <w:lvl w:ilvl="6" w:tplc="D03651B0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/>
      </w:rPr>
    </w:lvl>
    <w:lvl w:ilvl="7" w:tplc="3D3EF6A4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/>
      </w:rPr>
    </w:lvl>
    <w:lvl w:ilvl="8" w:tplc="AB427F5A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/>
      </w:rPr>
    </w:lvl>
  </w:abstractNum>
  <w:abstractNum w:abstractNumId="26" w15:restartNumberingAfterBreak="0">
    <w:nsid w:val="56D56357"/>
    <w:multiLevelType w:val="hybridMultilevel"/>
    <w:tmpl w:val="80E0A03C"/>
    <w:lvl w:ilvl="0" w:tplc="B5447F3C">
      <w:start w:val="1"/>
      <w:numFmt w:val="decimal"/>
      <w:lvlText w:val="%1."/>
      <w:lvlJc w:val="left"/>
    </w:lvl>
    <w:lvl w:ilvl="1" w:tplc="9F1EBB18">
      <w:start w:val="1"/>
      <w:numFmt w:val="lowerLetter"/>
      <w:lvlText w:val="%2."/>
      <w:lvlJc w:val="left"/>
    </w:lvl>
    <w:lvl w:ilvl="2" w:tplc="1456AF56">
      <w:start w:val="1"/>
      <w:numFmt w:val="lowerRoman"/>
      <w:lvlText w:val="%3."/>
      <w:lvlJc w:val="left"/>
    </w:lvl>
    <w:lvl w:ilvl="3" w:tplc="F6D86E8A">
      <w:start w:val="1"/>
      <w:numFmt w:val="decimal"/>
      <w:lvlText w:val="%4."/>
      <w:lvlJc w:val="left"/>
    </w:lvl>
    <w:lvl w:ilvl="4" w:tplc="4264737E">
      <w:start w:val="1"/>
      <w:numFmt w:val="lowerLetter"/>
      <w:lvlText w:val="%5."/>
      <w:lvlJc w:val="left"/>
    </w:lvl>
    <w:lvl w:ilvl="5" w:tplc="4232DC4E">
      <w:start w:val="1"/>
      <w:numFmt w:val="lowerRoman"/>
      <w:lvlText w:val="%6."/>
      <w:lvlJc w:val="left"/>
    </w:lvl>
    <w:lvl w:ilvl="6" w:tplc="1F0EA35C">
      <w:start w:val="1"/>
      <w:numFmt w:val="decimal"/>
      <w:lvlText w:val="%7."/>
      <w:lvlJc w:val="left"/>
    </w:lvl>
    <w:lvl w:ilvl="7" w:tplc="8E0857BC">
      <w:start w:val="1"/>
      <w:numFmt w:val="lowerLetter"/>
      <w:lvlText w:val="%8."/>
      <w:lvlJc w:val="left"/>
    </w:lvl>
    <w:lvl w:ilvl="8" w:tplc="2CD663D2">
      <w:start w:val="1"/>
      <w:numFmt w:val="lowerRoman"/>
      <w:lvlText w:val="%9."/>
      <w:lvlJc w:val="left"/>
    </w:lvl>
  </w:abstractNum>
  <w:abstractNum w:abstractNumId="27" w15:restartNumberingAfterBreak="0">
    <w:nsid w:val="5AED7D43"/>
    <w:multiLevelType w:val="hybridMultilevel"/>
    <w:tmpl w:val="6B984008"/>
    <w:lvl w:ilvl="0" w:tplc="E4CAA6E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1" w:tplc="17E6336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DA2A2A2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ABC4062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8B3632D0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E4BA4AE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C5AA98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41D05BD8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0B8692E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8" w15:restartNumberingAfterBreak="0">
    <w:nsid w:val="67284353"/>
    <w:multiLevelType w:val="hybridMultilevel"/>
    <w:tmpl w:val="08224228"/>
    <w:lvl w:ilvl="0" w:tplc="4744930E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/>
      </w:rPr>
    </w:lvl>
    <w:lvl w:ilvl="1" w:tplc="EEB670EA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/>
      </w:rPr>
    </w:lvl>
    <w:lvl w:ilvl="2" w:tplc="5BBA7BA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90AC7FD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2520C0D2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/>
      </w:rPr>
    </w:lvl>
    <w:lvl w:ilvl="5" w:tplc="DF729334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C33C69A4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41B4041C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/>
      </w:rPr>
    </w:lvl>
    <w:lvl w:ilvl="8" w:tplc="FF84076C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29" w15:restartNumberingAfterBreak="0">
    <w:nsid w:val="781D528B"/>
    <w:multiLevelType w:val="hybridMultilevel"/>
    <w:tmpl w:val="DA30269E"/>
    <w:lvl w:ilvl="0" w:tplc="FAC27F90">
      <w:start w:val="1"/>
      <w:numFmt w:val="bullet"/>
      <w:lvlText w:val=""/>
      <w:lvlJc w:val="left"/>
      <w:pPr>
        <w:ind w:left="1425" w:hanging="360"/>
      </w:pPr>
      <w:rPr>
        <w:rFonts w:ascii="Symbol" w:hAnsi="Symbol"/>
      </w:rPr>
    </w:lvl>
    <w:lvl w:ilvl="1" w:tplc="482C1B02">
      <w:start w:val="1"/>
      <w:numFmt w:val="bullet"/>
      <w:lvlText w:val="o"/>
      <w:lvlJc w:val="left"/>
      <w:pPr>
        <w:ind w:left="2145" w:hanging="360"/>
      </w:pPr>
      <w:rPr>
        <w:rFonts w:ascii="Courier New" w:hAnsi="Courier New"/>
      </w:rPr>
    </w:lvl>
    <w:lvl w:ilvl="2" w:tplc="96769410">
      <w:start w:val="1"/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 w:tplc="CA828170">
      <w:start w:val="1"/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 w:tplc="3474A79A">
      <w:start w:val="1"/>
      <w:numFmt w:val="bullet"/>
      <w:lvlText w:val="o"/>
      <w:lvlJc w:val="left"/>
      <w:pPr>
        <w:ind w:left="4305" w:hanging="360"/>
      </w:pPr>
      <w:rPr>
        <w:rFonts w:ascii="Courier New" w:hAnsi="Courier New"/>
      </w:rPr>
    </w:lvl>
    <w:lvl w:ilvl="5" w:tplc="6D3AA752">
      <w:start w:val="1"/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 w:tplc="6422EE36">
      <w:start w:val="1"/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 w:tplc="26C005F6">
      <w:start w:val="1"/>
      <w:numFmt w:val="bullet"/>
      <w:lvlText w:val="o"/>
      <w:lvlJc w:val="left"/>
      <w:pPr>
        <w:ind w:left="6465" w:hanging="360"/>
      </w:pPr>
      <w:rPr>
        <w:rFonts w:ascii="Courier New" w:hAnsi="Courier New"/>
      </w:rPr>
    </w:lvl>
    <w:lvl w:ilvl="8" w:tplc="E7DC9DA0">
      <w:start w:val="1"/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30" w15:restartNumberingAfterBreak="0">
    <w:nsid w:val="7E4E5241"/>
    <w:multiLevelType w:val="hybridMultilevel"/>
    <w:tmpl w:val="9D3EFD3E"/>
    <w:lvl w:ilvl="0" w:tplc="E72C38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B38CA8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 w:tplc="5D9C8A8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17544E5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4362847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 w:tplc="404ABF4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F874315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7666B61A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 w:tplc="7E80629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num w:numId="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6"/>
  </w:num>
  <w:num w:numId="5">
    <w:abstractNumId w:val="14"/>
  </w:num>
  <w:num w:numId="6">
    <w:abstractNumId w:val="4"/>
  </w:num>
  <w:num w:numId="7">
    <w:abstractNumId w:val="10"/>
  </w:num>
  <w:num w:numId="8">
    <w:abstractNumId w:val="6"/>
  </w:num>
  <w:num w:numId="9">
    <w:abstractNumId w:val="22"/>
  </w:num>
  <w:num w:numId="10">
    <w:abstractNumId w:val="17"/>
  </w:num>
  <w:num w:numId="11">
    <w:abstractNumId w:val="15"/>
  </w:num>
  <w:num w:numId="12">
    <w:abstractNumId w:val="1"/>
  </w:num>
  <w:num w:numId="13">
    <w:abstractNumId w:val="19"/>
  </w:num>
  <w:num w:numId="14">
    <w:abstractNumId w:val="5"/>
  </w:num>
  <w:num w:numId="15">
    <w:abstractNumId w:val="28"/>
  </w:num>
  <w:num w:numId="16">
    <w:abstractNumId w:val="9"/>
  </w:num>
  <w:num w:numId="17">
    <w:abstractNumId w:val="13"/>
  </w:num>
  <w:num w:numId="18">
    <w:abstractNumId w:val="8"/>
  </w:num>
  <w:num w:numId="19">
    <w:abstractNumId w:val="2"/>
  </w:num>
  <w:num w:numId="20">
    <w:abstractNumId w:val="24"/>
  </w:num>
  <w:num w:numId="21">
    <w:abstractNumId w:val="11"/>
  </w:num>
  <w:num w:numId="22">
    <w:abstractNumId w:val="30"/>
  </w:num>
  <w:num w:numId="23">
    <w:abstractNumId w:val="0"/>
  </w:num>
  <w:num w:numId="24">
    <w:abstractNumId w:val="12"/>
  </w:num>
  <w:num w:numId="25">
    <w:abstractNumId w:val="18"/>
  </w:num>
  <w:num w:numId="26">
    <w:abstractNumId w:val="25"/>
  </w:num>
  <w:num w:numId="27">
    <w:abstractNumId w:val="3"/>
  </w:num>
  <w:num w:numId="28">
    <w:abstractNumId w:val="7"/>
  </w:num>
  <w:num w:numId="29">
    <w:abstractNumId w:val="29"/>
  </w:num>
  <w:num w:numId="30">
    <w:abstractNumId w:val="2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FA4"/>
    <w:rsid w:val="00074D5A"/>
    <w:rsid w:val="000808AB"/>
    <w:rsid w:val="00A05FA4"/>
    <w:rsid w:val="00E3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005"/>
  <w15:docId w15:val="{FC1518D7-58CC-4A7D-A73F-696853AC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link w:val="12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afb">
    <w:name w:val="Знак"/>
    <w:basedOn w:val="a"/>
    <w:pPr>
      <w:widowControl/>
      <w:tabs>
        <w:tab w:val="num" w:pos="390"/>
      </w:tabs>
      <w:spacing w:after="160" w:line="240" w:lineRule="exact"/>
      <w:ind w:left="390" w:hanging="390"/>
    </w:pPr>
    <w:rPr>
      <w:rFonts w:ascii="Verdana" w:hAnsi="Verdana"/>
      <w:lang w:val="en-US" w:eastAsia="en-US"/>
    </w:rPr>
  </w:style>
  <w:style w:type="paragraph" w:styleId="afc">
    <w:name w:val="Body Text Indent"/>
    <w:basedOn w:val="a"/>
    <w:pPr>
      <w:widowControl/>
      <w:ind w:right="-1" w:firstLine="567"/>
    </w:pPr>
    <w:rPr>
      <w:rFonts w:ascii="Times New Roman" w:hAnsi="Times New Roman" w:cs="Times New Roman"/>
    </w:rPr>
  </w:style>
  <w:style w:type="paragraph" w:styleId="afd">
    <w:name w:val="Body Text"/>
    <w:basedOn w:val="a"/>
    <w:link w:val="afe"/>
    <w:pPr>
      <w:widowControl/>
      <w:spacing w:after="120"/>
      <w:ind w:firstLine="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ubHeading">
    <w:name w:val="Sub Heading"/>
    <w:pPr>
      <w:widowControl w:val="0"/>
      <w:spacing w:before="240" w:after="40"/>
    </w:pPr>
    <w:rPr>
      <w:lang w:eastAsia="ru-RU"/>
    </w:rPr>
  </w:style>
  <w:style w:type="paragraph" w:customStyle="1" w:styleId="ThinDelim">
    <w:name w:val="Thin Delim"/>
    <w:pPr>
      <w:widowControl w:val="0"/>
    </w:pPr>
    <w:rPr>
      <w:sz w:val="16"/>
      <w:szCs w:val="16"/>
      <w:lang w:eastAsia="ru-RU"/>
    </w:rPr>
  </w:style>
  <w:style w:type="paragraph" w:customStyle="1" w:styleId="DefaultParagraphFontParaCharChar">
    <w:name w:val="Default Paragraph Font Para Char Char Знак"/>
    <w:basedOn w:val="a"/>
    <w:pPr>
      <w:widowControl/>
      <w:spacing w:after="160" w:line="240" w:lineRule="exact"/>
      <w:ind w:firstLine="0"/>
    </w:pPr>
    <w:rPr>
      <w:rFonts w:ascii="Verdana" w:hAnsi="Verdana" w:cs="Verdana"/>
      <w:lang w:val="en-US" w:eastAsia="en-US"/>
    </w:rPr>
  </w:style>
  <w:style w:type="character" w:customStyle="1" w:styleId="aff">
    <w:name w:val="ШапкаОсн"/>
    <w:rPr>
      <w:rFonts w:ascii="Arial" w:hAnsi="Arial"/>
      <w:b/>
      <w:spacing w:val="-4"/>
      <w:sz w:val="18"/>
      <w:vertAlign w:val="baseline"/>
    </w:rPr>
  </w:style>
  <w:style w:type="character" w:customStyle="1" w:styleId="Subst">
    <w:name w:val="Subst"/>
    <w:uiPriority w:val="99"/>
    <w:rPr>
      <w:b/>
      <w:i/>
    </w:rPr>
  </w:style>
  <w:style w:type="paragraph" w:styleId="25">
    <w:name w:val="Body Text 2"/>
    <w:basedOn w:val="a"/>
    <w:pPr>
      <w:widowControl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FollowedHyperlink"/>
    <w:rPr>
      <w:color w:val="800080"/>
      <w:u w:val="single"/>
    </w:rPr>
  </w:style>
  <w:style w:type="paragraph" w:styleId="aff1">
    <w:name w:val="List Paragraph"/>
    <w:basedOn w:val="a"/>
    <w:pPr>
      <w:ind w:left="720"/>
      <w:contextualSpacing/>
    </w:pPr>
    <w:rPr>
      <w:rFonts w:eastAsia="Calibri"/>
    </w:rPr>
  </w:style>
  <w:style w:type="character" w:styleId="aff2">
    <w:name w:val="page number"/>
    <w:basedOn w:val="a0"/>
  </w:style>
  <w:style w:type="character" w:customStyle="1" w:styleId="afe">
    <w:name w:val="Основной текст Знак"/>
    <w:link w:val="afd"/>
    <w:rPr>
      <w:sz w:val="24"/>
      <w:szCs w:val="24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eastAsia="Calibri"/>
    </w:rPr>
  </w:style>
  <w:style w:type="character" w:styleId="aff3">
    <w:name w:val="annotation reference"/>
    <w:rPr>
      <w:sz w:val="16"/>
      <w:szCs w:val="16"/>
    </w:rPr>
  </w:style>
  <w:style w:type="paragraph" w:styleId="aff4">
    <w:name w:val="annotation text"/>
    <w:basedOn w:val="a"/>
    <w:link w:val="aff5"/>
    <w:rPr>
      <w:rFonts w:cs="Times New Roman"/>
      <w:lang w:val="en-US" w:eastAsia="en-US"/>
    </w:rPr>
  </w:style>
  <w:style w:type="character" w:customStyle="1" w:styleId="aff5">
    <w:name w:val="Текст примечания Знак"/>
    <w:link w:val="aff4"/>
    <w:rPr>
      <w:rFonts w:ascii="Arial" w:hAnsi="Arial" w:cs="Arial"/>
    </w:rPr>
  </w:style>
  <w:style w:type="paragraph" w:styleId="aff6">
    <w:name w:val="annotation subject"/>
    <w:basedOn w:val="aff4"/>
    <w:next w:val="aff4"/>
    <w:link w:val="aff7"/>
    <w:rPr>
      <w:b/>
      <w:bCs/>
    </w:rPr>
  </w:style>
  <w:style w:type="character" w:customStyle="1" w:styleId="aff7">
    <w:name w:val="Тема примечания Знак"/>
    <w:link w:val="aff6"/>
    <w:rPr>
      <w:rFonts w:ascii="Arial" w:hAnsi="Arial" w:cs="Arial"/>
      <w:b/>
      <w:bCs/>
    </w:rPr>
  </w:style>
  <w:style w:type="character" w:customStyle="1" w:styleId="ab">
    <w:name w:val="Верхний колонтитул Знак"/>
    <w:link w:val="aa"/>
    <w:rPr>
      <w:rFonts w:ascii="Arial" w:hAnsi="Arial" w:cs="Arial"/>
    </w:rPr>
  </w:style>
  <w:style w:type="paragraph" w:styleId="aff8">
    <w:name w:val="Normal (Web)"/>
    <w:basedOn w:val="a"/>
    <w:uiPriority w:val="99"/>
    <w:unhideWhenUsed/>
    <w:pPr>
      <w:widowControl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9">
    <w:name w:val="Strong"/>
    <w:uiPriority w:val="22"/>
    <w:qFormat/>
    <w:rPr>
      <w:b/>
      <w:bCs/>
    </w:rPr>
  </w:style>
  <w:style w:type="character" w:styleId="affa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2">
    <w:name w:val="Гиперссылка1"/>
    <w:link w:val="a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tovenergo.ru/yuridicheskim-litsam/raschet-stoimosti-elektroenergii/predelnye-urovni-svobodnykh-nereguliruemykh-tsen/archive-for-2024/" TargetMode="External"/><Relationship Id="rId13" Type="http://schemas.openxmlformats.org/officeDocument/2006/relationships/hyperlink" Target="https://www.saratovenergo.ru/upload/docs/yuridicheskim-litsam/tarify/74.%20&#1057;&#1073;&#1099;&#1090;&#1086;&#1074;&#1099;&#1077;%20&#1085;&#1072;&#1076;&#1073;&#1072;&#1074;&#1082;&#1080;%20&#1085;&#1072;%202024.pdf" TargetMode="External"/><Relationship Id="rId18" Type="http://schemas.openxmlformats.org/officeDocument/2006/relationships/hyperlink" Target="https://saratovenergo.ru/internet-priemnaya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saratovenergo.ru/" TargetMode="External"/><Relationship Id="rId7" Type="http://schemas.openxmlformats.org/officeDocument/2006/relationships/hyperlink" Target="https://bo.nalog.ru/organizations-card/6273330" TargetMode="External"/><Relationship Id="rId12" Type="http://schemas.openxmlformats.org/officeDocument/2006/relationships/hyperlink" Target="https://www.saratovenergo.ru/yuridicheskim-litsam/raschet-stoimosti-elektroenergii/predelnye-urovni-svobodnykh-nereguliruemykh-tsen/archive-for-2024/" TargetMode="External"/><Relationship Id="rId17" Type="http://schemas.openxmlformats.org/officeDocument/2006/relationships/hyperlink" Target="https://www.saratovenergo.ru/uslugi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saratovenergo.ru/yuridicheskim-litsam/tipovye-formy-dogovorov/" TargetMode="External"/><Relationship Id="rId20" Type="http://schemas.openxmlformats.org/officeDocument/2006/relationships/hyperlink" Target="https://lk.saratovenergo.ru/logi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ratovenergo.ru/yuridicheskim-litsam/tarify/" TargetMode="External"/><Relationship Id="rId24" Type="http://schemas.openxmlformats.org/officeDocument/2006/relationships/hyperlink" Target="mailto:sar1-office@interra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aratovenergo.ru/chastnym-litsam/tipovye-formy-dogovorov/" TargetMode="External"/><Relationship Id="rId23" Type="http://schemas.openxmlformats.org/officeDocument/2006/relationships/hyperlink" Target="https://www.saratovenergo.ru/about/contacts/territorial-division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aratovenergo.ru/yuridicheskim-litsam/raschet-stoimosti-elektroenergii/srednevzveshennye-nereguliruemye-tseny-v-chasti-pokupki-na-optovom-rynke/" TargetMode="External"/><Relationship Id="rId19" Type="http://schemas.openxmlformats.org/officeDocument/2006/relationships/hyperlink" Target="http://www.my.saratovenerg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ratovenergo.ru/chastnym-litsam/tarify/" TargetMode="External"/><Relationship Id="rId14" Type="http://schemas.openxmlformats.org/officeDocument/2006/relationships/hyperlink" Target="https://www.saratovenergo.ru/raskrytie-informatsii-garantiruyushchim-postavshchikom/the-main-terms-of-the-contract-of-purchase-and-sale/" TargetMode="External"/><Relationship Id="rId22" Type="http://schemas.openxmlformats.org/officeDocument/2006/relationships/hyperlink" Target="https://www.saratovenergo.ru/chastnym-litsam/priem-pokazaniy.php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2010 году в ОАО «Саратовэнерго» применяются 2 формы договоров энергоснабжения населения:</vt:lpstr>
    </vt:vector>
  </TitlesOfParts>
  <Company>Your Company Name</Company>
  <LinksUpToDate>false</LinksUpToDate>
  <CharactersWithSpaces>25007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2010 году в ОАО «Саратовэнерго» применяются 2 формы договоров энергоснабжения населения:</dc:title>
  <dc:creator>lanshikova</dc:creator>
  <cp:lastModifiedBy>Каранова Анна Юрьевна</cp:lastModifiedBy>
  <cp:revision>56</cp:revision>
  <dcterms:created xsi:type="dcterms:W3CDTF">2022-05-05T11:30:00Z</dcterms:created>
  <dcterms:modified xsi:type="dcterms:W3CDTF">2025-05-22T06:52:00Z</dcterms:modified>
  <cp:version>1048576</cp:version>
</cp:coreProperties>
</file>