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i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i/>
          <w:sz w:val="16"/>
          <w:szCs w:val="16"/>
          <w:highlight w:val="white"/>
        </w:rPr>
      </w:r>
    </w:p>
    <w:p>
      <w:pPr>
        <w:pStyle w:val="908"/>
        <w:ind w:right="0"/>
        <w:jc w:val="right"/>
        <w:rPr>
          <w:b w:val="0"/>
          <w:i/>
          <w:sz w:val="16"/>
          <w:szCs w:val="16"/>
          <w:highlight w:val="white"/>
        </w:rPr>
      </w:pPr>
      <w:r>
        <w:rPr>
          <w:i/>
          <w:sz w:val="16"/>
          <w:szCs w:val="16"/>
          <w:highlight w:val="white"/>
        </w:rPr>
        <w:t xml:space="preserve">                                                            </w:t>
      </w:r>
      <w:r>
        <w:rPr>
          <w:b w:val="0"/>
          <w:i/>
          <w:sz w:val="16"/>
          <w:szCs w:val="16"/>
          <w:highlight w:val="white"/>
        </w:rPr>
        <w:t xml:space="preserve">Для юридически</w:t>
      </w:r>
      <w:bookmarkStart w:id="0" w:name="_GoBack"/>
      <w:r>
        <w:rPr>
          <w:highlight w:val="white"/>
        </w:rPr>
      </w:r>
      <w:bookmarkEnd w:id="0"/>
      <w:r>
        <w:rPr>
          <w:b w:val="0"/>
          <w:i/>
          <w:sz w:val="16"/>
          <w:szCs w:val="16"/>
          <w:highlight w:val="white"/>
        </w:rPr>
        <w:t xml:space="preserve">х лиц, с применением в расчётах с 1 по 6 ценовой  категории</w:t>
      </w:r>
      <w:r>
        <w:rPr>
          <w:b w:val="0"/>
          <w:i/>
          <w:sz w:val="16"/>
          <w:szCs w:val="16"/>
          <w:highlight w:val="white"/>
        </w:rPr>
      </w:r>
      <w:r>
        <w:rPr>
          <w:b w:val="0"/>
          <w:i/>
          <w:sz w:val="16"/>
          <w:szCs w:val="16"/>
          <w:highlight w:val="white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keepNext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Дополнительное соглашение №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 от «___»_____ 202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jc w:val="center"/>
        <w:keepNext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к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договору энергоснабжения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№ 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ab/>
        <w:t xml:space="preserve">от «___»____________20___ г.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b/>
          <w:sz w:val="26"/>
          <w:szCs w:val="26"/>
          <w:highlight w:val="white"/>
          <w:lang w:eastAsia="ru-RU"/>
        </w:rPr>
      </w:r>
      <w:r>
        <w:rPr>
          <w:rFonts w:ascii="Liberation Serif" w:hAnsi="Liberation Serif" w:eastAsia="Liberation Serif" w:cs="Liberation Serif"/>
          <w:b/>
          <w:sz w:val="26"/>
          <w:szCs w:val="26"/>
          <w:highlight w:val="white"/>
        </w:rPr>
      </w:r>
      <w:r>
        <w:rPr>
          <w:rFonts w:ascii="Liberation Serif" w:hAnsi="Liberation Serif" w:cs="Liberation Serif"/>
          <w:b/>
          <w:sz w:val="26"/>
          <w:szCs w:val="26"/>
          <w:highlight w:val="white"/>
        </w:rPr>
      </w:r>
    </w:p>
    <w:p>
      <w:pPr>
        <w:ind w:firstLine="284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Открытое акционерное общество «Саратовэнерго» (имеющее статус Гарантирующего поставщика), именуемое в дальнейшем «поставщик», в лице___________________________________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___________________________________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, действующего на основании _________________________________________, с одной стороны,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ind w:firstLine="284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и ____________________________________________________________________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ind w:right="-1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______________________________________________________________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,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ind w:right="-1" w:firstLine="284"/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  <w:vertAlign w:val="superscript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vertAlign w:val="superscript"/>
          <w:lang w:eastAsia="ru-RU"/>
        </w:rPr>
        <w:t xml:space="preserve">(полное наименование предприятия, Потребителя)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vertAlign w:val="superscript"/>
        </w:rPr>
      </w:r>
      <w:r>
        <w:rPr>
          <w:rFonts w:ascii="Liberation Serif" w:hAnsi="Liberation Serif" w:cs="Liberation Serif"/>
          <w:sz w:val="26"/>
          <w:szCs w:val="26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именуемый(-ое) в дальнейшем «потребитель» в лице ______________________________________________________________________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,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ind w:right="-1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действующего на основании ____________________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_____________________________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, с другой стороны, а при совместном упоминании «стороны», на основании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требований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 п.65(3) Основных положений функционирования розничных рынков электрической энергии, утвержденных Постановлением Правительства РФ от 04.05.2012 №442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заключили настоящее соглашение, о нижеследующем: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pStyle w:val="906"/>
        <w:numPr>
          <w:ilvl w:val="0"/>
          <w:numId w:val="2"/>
        </w:numPr>
        <w:ind w:left="0" w:firstLine="360"/>
        <w:jc w:val="both"/>
        <w:tabs>
          <w:tab w:val="clear" w:pos="720" w:leader="none"/>
        </w:tabs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Дополнить договор п.1.4. следующего содержания: «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Потребителю принадлежи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т на праве собственности или ином законном основании объект микрогенерации, соответствующий требованиям ст.3 ФЗ-35 от 26.03.2003 «Об электроэнергетике» и «Основных положений функционирования розничных рынков электрической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энергии», утвержденных Постановлением Правительства РФ от 04.05.2012 №442, имеющий технологическое присоединение к электрическим сетям сетевой организации, с соблюдением требований «Правил технологического присоединения энергопринимающих устройств потребит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№861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.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Между поставщиком и потребителем заключен и действует договор купли-продажи электрической энергии, произведенной на объектах микрогенерации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                                                   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от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«___»_______ 202__ №_________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»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.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pStyle w:val="906"/>
        <w:numPr>
          <w:ilvl w:val="0"/>
          <w:numId w:val="2"/>
        </w:numPr>
        <w:ind w:left="0" w:firstLine="360"/>
        <w:jc w:val="both"/>
        <w:tabs>
          <w:tab w:val="num" w:pos="360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Дополни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ть договор п.7.3. следующего содержания: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«В случае неисполнения либо ненадлежащего исполнения потребителем обязательств по оплате потребленной электрической энергии по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настоящему договору энергоснабжения поставщик вправе удержать из суммы средств, причитающихся продавцу за поставленную им электрическую энергию по договору купли-продажи электрической энергии, произведенной на объектах микрогенерации от «___»_______ 202__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№_________ средства в счет погашения задолженности потребителя по настоящему договору энергоснабжения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».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</w:r>
      <w:r>
        <w:rPr>
          <w:rFonts w:ascii="Liberation Serif" w:hAnsi="Liberation Serif" w:cs="Liberation Serif"/>
          <w:sz w:val="26"/>
          <w:szCs w:val="26"/>
          <w:highlight w:val="white"/>
        </w:rPr>
      </w:r>
    </w:p>
    <w:p>
      <w:pPr>
        <w:pStyle w:val="906"/>
        <w:numPr>
          <w:ilvl w:val="0"/>
          <w:numId w:val="2"/>
        </w:numPr>
        <w:ind w:left="0" w:right="0" w:firstLine="283"/>
        <w:jc w:val="both"/>
        <w:keepNext/>
        <w:spacing w:after="0" w:line="240" w:lineRule="auto"/>
        <w:widowControl w:val="off"/>
        <w:tabs>
          <w:tab w:val="left" w:pos="0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Остальные условия договора, не затронутые настоящим соглашением, остаются неизменными и Стороны по ним подтверждают свои обязательства.</w:t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06"/>
        <w:numPr>
          <w:ilvl w:val="0"/>
          <w:numId w:val="2"/>
        </w:numPr>
        <w:ind w:left="0" w:right="0" w:firstLine="283"/>
        <w:jc w:val="both"/>
        <w:keepNext/>
        <w:spacing w:after="0" w:line="240" w:lineRule="auto"/>
        <w:widowControl w:val="off"/>
        <w:tabs>
          <w:tab w:val="left" w:pos="0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Настоящее соглашение составлено на 1 листе каждый в 2-х экземплярах, имеющих одинаковую юридическую силу, по одному для каждой из Сторон.</w:t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06"/>
        <w:numPr>
          <w:ilvl w:val="0"/>
          <w:numId w:val="2"/>
        </w:numPr>
        <w:ind w:left="0" w:right="0" w:firstLine="283"/>
        <w:jc w:val="both"/>
        <w:keepNext/>
        <w:spacing w:after="0" w:line="240" w:lineRule="auto"/>
        <w:widowControl w:val="off"/>
        <w:tabs>
          <w:tab w:val="left" w:pos="0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Настоящее соглашение вступает в силу с момента его подписания сторонами и действует до момента расторжения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договора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.</w:t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right="-1" w:firstLine="284"/>
        <w:jc w:val="both"/>
        <w:keepNext/>
        <w:spacing w:after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  <w:lang w:eastAsia="ru-RU"/>
        </w:rPr>
      </w:r>
      <w:r>
        <w:rPr>
          <w:rFonts w:ascii="Liberation Serif" w:hAnsi="Liberation Serif" w:eastAsia="Liberation Serif" w:cs="Liberation Serif"/>
          <w:sz w:val="18"/>
          <w:szCs w:val="18"/>
          <w:lang w:eastAsia="ru-RU"/>
        </w:rPr>
      </w:r>
      <w:r>
        <w:rPr>
          <w:rFonts w:ascii="Liberation Serif" w:hAnsi="Liberation Serif" w:cs="Liberation Serif"/>
          <w:sz w:val="18"/>
          <w:szCs w:val="18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99"/>
        <w:gridCol w:w="4943"/>
      </w:tblGrid>
      <w:tr>
        <w:tblPrEx/>
        <w:trPr/>
        <w:tc>
          <w:tcPr>
            <w:gridSpan w:val="2"/>
            <w:shd w:val="clear" w:color="auto" w:fill="auto"/>
            <w:tcW w:w="10042" w:type="dxa"/>
            <w:textDirection w:val="lrTb"/>
            <w:noWrap w:val="false"/>
          </w:tcPr>
          <w:p>
            <w:pPr>
              <w:ind w:left="568"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Подписи Сторон: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keepNext/>
              <w:spacing w:after="0" w:line="240" w:lineRule="auto"/>
              <w:widowControl w:val="off"/>
              <w:tabs>
                <w:tab w:val="left" w:pos="3968" w:leader="none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>
          <w:trHeight w:val="883"/>
        </w:trPr>
        <w:tc>
          <w:tcPr>
            <w:shd w:val="clear" w:color="auto" w:fill="auto"/>
            <w:tcW w:w="5099" w:type="dxa"/>
            <w:textDirection w:val="lrTb"/>
            <w:noWrap w:val="false"/>
          </w:tcPr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Поставщик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____________________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/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______________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                                 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М.П.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shd w:val="clear" w:color="auto" w:fill="auto"/>
            <w:tcW w:w="4943" w:type="dxa"/>
            <w:textDirection w:val="lrTb"/>
            <w:noWrap w:val="false"/>
          </w:tcPr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отребитель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___________________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/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М.П.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284" w:right="424" w:bottom="851" w:left="992" w:header="0" w:footer="2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ind w:right="-1"/>
    </w:pPr>
    <w:r>
      <w:rPr>
        <w:rStyle w:val="905"/>
      </w:rP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5"/>
        <w:sz w:val="11"/>
      </w:rPr>
      <w:framePr w:wrap="around" w:vAnchor="text" w:hAnchor="margin" w:xAlign="right" w:y="1"/>
    </w:pPr>
    <w:r>
      <w:rPr>
        <w:rStyle w:val="905"/>
        <w:sz w:val="11"/>
      </w:rPr>
      <w:fldChar w:fldCharType="begin"/>
    </w:r>
    <w:r>
      <w:rPr>
        <w:rStyle w:val="905"/>
        <w:sz w:val="11"/>
      </w:rPr>
      <w:instrText xml:space="preserve">PAGE  </w:instrText>
    </w:r>
    <w:r>
      <w:rPr>
        <w:rStyle w:val="905"/>
        <w:sz w:val="11"/>
      </w:rPr>
      <w:fldChar w:fldCharType="separate"/>
    </w:r>
    <w:r>
      <w:rPr>
        <w:rStyle w:val="905"/>
        <w:sz w:val="11"/>
      </w:rPr>
      <w:t xml:space="preserve">6</w:t>
    </w:r>
    <w:r>
      <w:rPr>
        <w:rStyle w:val="905"/>
        <w:sz w:val="11"/>
      </w:rPr>
      <w:fldChar w:fldCharType="end"/>
    </w:r>
    <w:r>
      <w:rPr>
        <w:rStyle w:val="905"/>
        <w:sz w:val="11"/>
      </w:rPr>
    </w:r>
    <w:r>
      <w:rPr>
        <w:rStyle w:val="905"/>
        <w:sz w:val="11"/>
      </w:rPr>
    </w:r>
  </w:p>
  <w:p>
    <w:pPr>
      <w:pStyle w:val="901"/>
      <w:ind w:right="360"/>
      <w:rPr>
        <w:sz w:val="11"/>
      </w:rPr>
    </w:pPr>
    <w:r>
      <w:rPr>
        <w:sz w:val="11"/>
      </w:rPr>
    </w:r>
    <w:r>
      <w:rPr>
        <w:sz w:val="11"/>
      </w:rPr>
    </w:r>
    <w:r>
      <w:rPr>
        <w:sz w:val="11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8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7"/>
    <w:next w:val="897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7"/>
    <w:next w:val="897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character" w:styleId="743">
    <w:name w:val="Title Char"/>
    <w:basedOn w:val="898"/>
    <w:link w:val="909"/>
    <w:uiPriority w:val="10"/>
    <w:rPr>
      <w:sz w:val="48"/>
      <w:szCs w:val="48"/>
    </w:rPr>
  </w:style>
  <w:style w:type="paragraph" w:styleId="744">
    <w:name w:val="Subtitle"/>
    <w:basedOn w:val="897"/>
    <w:next w:val="89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7"/>
    <w:next w:val="897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7"/>
    <w:next w:val="897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01"/>
    <w:uiPriority w:val="99"/>
  </w:style>
  <w:style w:type="character" w:styleId="751">
    <w:name w:val="Footer Char"/>
    <w:basedOn w:val="898"/>
    <w:link w:val="903"/>
    <w:uiPriority w:val="99"/>
  </w:style>
  <w:style w:type="paragraph" w:styleId="752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903"/>
    <w:uiPriority w:val="99"/>
  </w:style>
  <w:style w:type="table" w:styleId="754">
    <w:name w:val="Table Grid"/>
    <w:basedOn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8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Header"/>
    <w:basedOn w:val="897"/>
    <w:link w:val="90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98"/>
    <w:link w:val="901"/>
    <w:uiPriority w:val="99"/>
    <w:semiHidden/>
  </w:style>
  <w:style w:type="paragraph" w:styleId="903">
    <w:name w:val="Footer"/>
    <w:basedOn w:val="897"/>
    <w:link w:val="90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98"/>
    <w:link w:val="903"/>
    <w:uiPriority w:val="99"/>
    <w:semiHidden/>
  </w:style>
  <w:style w:type="character" w:styleId="905">
    <w:name w:val="page number"/>
    <w:basedOn w:val="898"/>
  </w:style>
  <w:style w:type="paragraph" w:styleId="906">
    <w:name w:val="List Paragraph"/>
    <w:basedOn w:val="897"/>
    <w:uiPriority w:val="34"/>
    <w:qFormat/>
    <w:pPr>
      <w:contextualSpacing/>
      <w:ind w:left="720"/>
    </w:pPr>
  </w:style>
  <w:style w:type="character" w:styleId="907">
    <w:name w:val="Hyperlink"/>
    <w:basedOn w:val="898"/>
    <w:uiPriority w:val="99"/>
    <w:unhideWhenUsed/>
    <w:rPr>
      <w:color w:val="0563c1" w:themeColor="hyperlink"/>
      <w:u w:val="single"/>
    </w:rPr>
  </w:style>
  <w:style w:type="paragraph" w:styleId="908" w:customStyle="1">
    <w:name w:val="StGen0"/>
    <w:basedOn w:val="897"/>
    <w:next w:val="909"/>
    <w:qFormat/>
    <w:pPr>
      <w:ind w:right="-335"/>
      <w:jc w:val="center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909">
    <w:name w:val="Title"/>
    <w:basedOn w:val="897"/>
    <w:next w:val="897"/>
    <w:link w:val="910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0" w:customStyle="1">
    <w:name w:val="Заголовок Знак"/>
    <w:basedOn w:val="898"/>
    <w:link w:val="90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Владимирович</dc:creator>
  <cp:keywords/>
  <dc:description/>
  <cp:revision>5</cp:revision>
  <dcterms:created xsi:type="dcterms:W3CDTF">2021-08-11T06:15:00Z</dcterms:created>
  <dcterms:modified xsi:type="dcterms:W3CDTF">2025-01-29T09:39:46Z</dcterms:modified>
</cp:coreProperties>
</file>