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3" w:rsidRDefault="003F1F53" w:rsidP="00B776AD">
      <w:pPr>
        <w:ind w:left="113" w:right="113"/>
        <w:jc w:val="center"/>
        <w:rPr>
          <w:b/>
          <w:bCs/>
          <w:sz w:val="26"/>
          <w:szCs w:val="26"/>
        </w:rPr>
      </w:pPr>
    </w:p>
    <w:p w:rsidR="00B776AD" w:rsidRPr="00EA493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 xml:space="preserve">Сообщение о существенном факте </w:t>
      </w:r>
    </w:p>
    <w:p w:rsidR="00B776AD" w:rsidRPr="00EA493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 xml:space="preserve">«Сведения о проведении общего собрания участников </w:t>
      </w:r>
    </w:p>
    <w:p w:rsidR="00B776AD" w:rsidRPr="00EA493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>(акционеров) эмитента, а также о решениях, принятых общим собранием</w:t>
      </w:r>
    </w:p>
    <w:p w:rsidR="00005D60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 xml:space="preserve"> участников (акционеров эмитента)</w:t>
      </w:r>
    </w:p>
    <w:p w:rsidR="00B776AD" w:rsidRPr="00005D60" w:rsidRDefault="00005D60" w:rsidP="00B776AD">
      <w:pPr>
        <w:ind w:left="113" w:right="113"/>
        <w:jc w:val="center"/>
        <w:rPr>
          <w:b/>
          <w:bCs/>
          <w:sz w:val="26"/>
          <w:szCs w:val="26"/>
        </w:rPr>
      </w:pPr>
      <w:r w:rsidRPr="00005D60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раскрытие инсайдерской информации)</w:t>
      </w:r>
    </w:p>
    <w:p w:rsidR="00B776A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</w:p>
    <w:p w:rsidR="003F1F53" w:rsidRPr="00EA493D" w:rsidRDefault="003F1F53" w:rsidP="00B776AD">
      <w:pPr>
        <w:ind w:left="113" w:right="113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B776AD" w:rsidRPr="00EA493D" w:rsidTr="002A4D22">
        <w:tc>
          <w:tcPr>
            <w:tcW w:w="9667" w:type="dxa"/>
            <w:gridSpan w:val="2"/>
          </w:tcPr>
          <w:p w:rsidR="00B776AD" w:rsidRPr="00EA493D" w:rsidRDefault="00B776AD" w:rsidP="002A4D2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776AD" w:rsidRPr="00EA493D" w:rsidRDefault="00B776AD" w:rsidP="002A4D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 Общие сведения</w:t>
            </w:r>
          </w:p>
          <w:p w:rsidR="00B776AD" w:rsidRPr="00EA493D" w:rsidRDefault="00B776AD" w:rsidP="002A4D2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50" w:type="dxa"/>
          </w:tcPr>
          <w:p w:rsidR="00B776AD" w:rsidRPr="00EA493D" w:rsidRDefault="00B776AD" w:rsidP="002A4D22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Открытое акционерное общество энергетики и электрификации «Саратовэнерго»</w:t>
            </w: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</w:tcPr>
          <w:p w:rsidR="00B776AD" w:rsidRPr="00EA493D" w:rsidRDefault="00B776AD" w:rsidP="002A4D22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ОАО «Саратовэнерго»</w:t>
            </w: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550" w:type="dxa"/>
          </w:tcPr>
          <w:p w:rsidR="00B776AD" w:rsidRPr="00EA493D" w:rsidRDefault="00B776AD" w:rsidP="002A4D22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 xml:space="preserve">Российская Федерация, г. Саратов,                        ул. Чернышевского, </w:t>
            </w:r>
            <w:r>
              <w:rPr>
                <w:b/>
                <w:i/>
                <w:sz w:val="24"/>
                <w:szCs w:val="24"/>
              </w:rPr>
              <w:t>д.</w:t>
            </w:r>
            <w:r w:rsidRPr="00EA493D">
              <w:rPr>
                <w:b/>
                <w:i/>
                <w:sz w:val="24"/>
                <w:szCs w:val="24"/>
              </w:rPr>
              <w:t>124</w:t>
            </w: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550" w:type="dxa"/>
          </w:tcPr>
          <w:p w:rsidR="00B776AD" w:rsidRPr="00EA493D" w:rsidRDefault="00B776AD" w:rsidP="002A4D22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550" w:type="dxa"/>
          </w:tcPr>
          <w:p w:rsidR="00B776AD" w:rsidRPr="00EA493D" w:rsidRDefault="00B776AD" w:rsidP="002A4D22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</w:pPr>
            <w:r w:rsidRPr="00EA493D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</w:tcPr>
          <w:p w:rsidR="00B776AD" w:rsidRPr="00EA493D" w:rsidRDefault="00B776AD" w:rsidP="002A4D22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B776AD" w:rsidRPr="00EA493D" w:rsidTr="002A4D22">
        <w:tc>
          <w:tcPr>
            <w:tcW w:w="5117" w:type="dxa"/>
          </w:tcPr>
          <w:p w:rsidR="00B776AD" w:rsidRPr="00EA493D" w:rsidRDefault="00B776AD" w:rsidP="002A4D22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</w:tcPr>
          <w:p w:rsidR="00B776AD" w:rsidRPr="00EB73C6" w:rsidRDefault="007C415C" w:rsidP="00B776AD">
            <w:pPr>
              <w:ind w:right="113"/>
              <w:rPr>
                <w:b/>
                <w:i/>
                <w:sz w:val="24"/>
                <w:szCs w:val="24"/>
              </w:rPr>
            </w:pPr>
            <w:hyperlink r:id="rId8" w:history="1">
              <w:r w:rsidR="00B776AD" w:rsidRPr="00EB73C6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</w:p>
          <w:p w:rsidR="00B776AD" w:rsidRPr="00EA493D" w:rsidRDefault="00B776AD" w:rsidP="00B776AD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B73C6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9D6005">
              <w:rPr>
                <w:b/>
                <w:i/>
                <w:sz w:val="24"/>
                <w:szCs w:val="24"/>
              </w:rPr>
              <w:t>:/</w:t>
            </w:r>
            <w:r w:rsidRPr="000A7F58">
              <w:rPr>
                <w:b/>
                <w:i/>
                <w:sz w:val="24"/>
                <w:szCs w:val="24"/>
              </w:rPr>
              <w:t xml:space="preserve">/ </w:t>
            </w:r>
            <w:hyperlink r:id="rId9" w:history="1">
              <w:r w:rsidRPr="000A7F58">
                <w:rPr>
                  <w:rStyle w:val="a8"/>
                  <w:b/>
                  <w:i/>
                  <w:color w:val="auto"/>
                  <w:sz w:val="24"/>
                  <w:szCs w:val="24"/>
                  <w:u w:val="none"/>
                </w:rPr>
                <w:t>www.saratovenergo.ru/</w:t>
              </w:r>
            </w:hyperlink>
          </w:p>
        </w:tc>
      </w:tr>
    </w:tbl>
    <w:p w:rsidR="00B776AD" w:rsidRPr="00EA493D" w:rsidRDefault="00B776AD" w:rsidP="00B776AD">
      <w:pPr>
        <w:ind w:left="113" w:right="113"/>
        <w:rPr>
          <w:sz w:val="24"/>
          <w:szCs w:val="24"/>
        </w:rPr>
      </w:pPr>
    </w:p>
    <w:p w:rsidR="00B776AD" w:rsidRPr="00EA493D" w:rsidRDefault="00B776AD" w:rsidP="00B776AD">
      <w:pPr>
        <w:ind w:left="113" w:right="113"/>
        <w:rPr>
          <w:sz w:val="24"/>
          <w:szCs w:val="24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B776AD" w:rsidRPr="00EA493D" w:rsidTr="00740AC3">
        <w:tc>
          <w:tcPr>
            <w:tcW w:w="9498" w:type="dxa"/>
          </w:tcPr>
          <w:p w:rsidR="00B776AD" w:rsidRPr="00EA493D" w:rsidRDefault="00B776AD" w:rsidP="002A4D2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776AD" w:rsidRPr="00EA493D" w:rsidRDefault="00B776AD" w:rsidP="002A4D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2. Содержание сообщения</w:t>
            </w:r>
          </w:p>
          <w:p w:rsidR="00B776AD" w:rsidRPr="00EA493D" w:rsidRDefault="00B776AD" w:rsidP="002A4D2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76AD" w:rsidRPr="00740AC3" w:rsidTr="00740AC3">
        <w:tc>
          <w:tcPr>
            <w:tcW w:w="9498" w:type="dxa"/>
            <w:shd w:val="clear" w:color="auto" w:fill="auto"/>
          </w:tcPr>
          <w:p w:rsidR="00B776AD" w:rsidRPr="00FF0759" w:rsidRDefault="00B776AD" w:rsidP="00740AC3">
            <w:pPr>
              <w:tabs>
                <w:tab w:val="left" w:pos="10206"/>
              </w:tabs>
              <w:adjustRightInd w:val="0"/>
              <w:ind w:left="113" w:right="113" w:firstLine="1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9909E7" w:rsidRPr="00FF0759">
              <w:rPr>
                <w:b/>
                <w:i/>
                <w:sz w:val="24"/>
                <w:szCs w:val="24"/>
              </w:rPr>
              <w:t>внеочередное</w:t>
            </w:r>
            <w:r w:rsidRPr="00FF0759">
              <w:rPr>
                <w:b/>
                <w:i/>
                <w:sz w:val="24"/>
                <w:szCs w:val="24"/>
              </w:rPr>
              <w:t>.</w:t>
            </w: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9909E7" w:rsidRPr="00FF0759">
              <w:rPr>
                <w:b/>
                <w:i/>
                <w:sz w:val="24"/>
                <w:szCs w:val="24"/>
              </w:rPr>
              <w:t>заочное голосование.</w:t>
            </w: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 xml:space="preserve">2.3. </w:t>
            </w:r>
            <w:r w:rsidR="009909E7" w:rsidRPr="00FF0759">
              <w:rPr>
                <w:sz w:val="24"/>
                <w:szCs w:val="24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голосования;</w:t>
            </w:r>
            <w:r w:rsidR="008A454D" w:rsidRPr="00FF0759">
              <w:rPr>
                <w:b/>
                <w:i/>
                <w:sz w:val="24"/>
                <w:szCs w:val="24"/>
              </w:rPr>
              <w:t xml:space="preserve"> </w:t>
            </w:r>
          </w:p>
          <w:p w:rsidR="009909E7" w:rsidRPr="00FF0759" w:rsidRDefault="009909E7" w:rsidP="000A7F58">
            <w:pPr>
              <w:shd w:val="clear" w:color="auto" w:fill="FFFFFF"/>
              <w:tabs>
                <w:tab w:val="left" w:pos="284"/>
              </w:tabs>
              <w:autoSpaceDE/>
              <w:autoSpaceDN/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Определить дату проведения внеочередного Общего собрания акционеров Общества (дату окончания приема бюллетеней для голосования)- 29.12.2015 г., заполненные бюллетени для голосования могут быть направлены по следующим адресам: </w:t>
            </w:r>
          </w:p>
          <w:p w:rsidR="009909E7" w:rsidRPr="00FF0759" w:rsidRDefault="009909E7" w:rsidP="000A7F58">
            <w:pPr>
              <w:shd w:val="clear" w:color="auto" w:fill="FFFFFF"/>
              <w:tabs>
                <w:tab w:val="left" w:pos="567"/>
              </w:tabs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- 410028, г. Саратов, ул. Чернышевского, д. 124, ПАО «Саратовэнерго»;</w:t>
            </w:r>
          </w:p>
          <w:p w:rsidR="009909E7" w:rsidRPr="00FF0759" w:rsidRDefault="009909E7" w:rsidP="000A7F58">
            <w:pPr>
              <w:shd w:val="clear" w:color="auto" w:fill="FFFFFF"/>
              <w:tabs>
                <w:tab w:val="left" w:pos="567"/>
              </w:tabs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- 115172, г. Москва, а/я 4  ООО «Реестр - РН».</w:t>
            </w:r>
          </w:p>
          <w:p w:rsidR="009909E7" w:rsidRPr="00FF0759" w:rsidRDefault="009909E7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>2.4.Кворум общего собрания участников (акционеров) эмитента:</w:t>
            </w:r>
          </w:p>
          <w:p w:rsidR="00FF0759" w:rsidRPr="00FF0759" w:rsidRDefault="00FF0759" w:rsidP="00FF075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 xml:space="preserve">Число голосов, которыми </w:t>
            </w:r>
            <w:r w:rsidR="00E37ABE">
              <w:rPr>
                <w:iCs/>
                <w:sz w:val="24"/>
                <w:szCs w:val="24"/>
              </w:rPr>
              <w:t xml:space="preserve">по </w:t>
            </w:r>
            <w:r w:rsidRPr="00FF0759">
              <w:rPr>
                <w:iCs/>
                <w:sz w:val="24"/>
                <w:szCs w:val="24"/>
              </w:rPr>
              <w:t xml:space="preserve"> вопросу</w:t>
            </w:r>
            <w:r w:rsidR="00E37ABE">
              <w:rPr>
                <w:iCs/>
                <w:sz w:val="24"/>
                <w:szCs w:val="24"/>
              </w:rPr>
              <w:t xml:space="preserve"> повестки дня</w:t>
            </w:r>
            <w:r w:rsidRPr="00FF0759">
              <w:rPr>
                <w:iCs/>
                <w:sz w:val="24"/>
                <w:szCs w:val="24"/>
              </w:rPr>
              <w:t xml:space="preserve"> </w:t>
            </w:r>
            <w:r w:rsidR="00C54DA0">
              <w:rPr>
                <w:iCs/>
                <w:sz w:val="24"/>
                <w:szCs w:val="24"/>
              </w:rPr>
              <w:t xml:space="preserve">общего собрания акционеров </w:t>
            </w:r>
            <w:r w:rsidRPr="00FF0759">
              <w:rPr>
                <w:sz w:val="24"/>
                <w:szCs w:val="24"/>
              </w:rPr>
              <w:t xml:space="preserve">обладали все лица, включенные в список лиц, имеющих право на участие в общем собрании акционеров, </w:t>
            </w:r>
            <w:r w:rsidRPr="00FF0759">
              <w:rPr>
                <w:iCs/>
                <w:sz w:val="24"/>
                <w:szCs w:val="24"/>
              </w:rPr>
              <w:t>не заинтересованн</w:t>
            </w:r>
            <w:r w:rsidR="00E37ABE">
              <w:rPr>
                <w:iCs/>
                <w:sz w:val="24"/>
                <w:szCs w:val="24"/>
              </w:rPr>
              <w:t>ые в совершении обществом сделок</w:t>
            </w:r>
            <w:r w:rsidRPr="00FF0759">
              <w:rPr>
                <w:sz w:val="24"/>
                <w:szCs w:val="24"/>
              </w:rPr>
              <w:t>:</w:t>
            </w:r>
            <w:r w:rsidRPr="00FF0759">
              <w:rPr>
                <w:b/>
                <w:sz w:val="24"/>
                <w:szCs w:val="24"/>
              </w:rPr>
              <w:t xml:space="preserve"> </w:t>
            </w:r>
            <w:bookmarkStart w:id="0" w:name="В001_ГолВсегоСписок"/>
            <w:r w:rsidRPr="00FF0759">
              <w:rPr>
                <w:b/>
                <w:sz w:val="24"/>
                <w:szCs w:val="24"/>
              </w:rPr>
              <w:t>2 735 941 700</w:t>
            </w:r>
            <w:bookmarkEnd w:id="0"/>
            <w:r w:rsidRPr="00FF0759">
              <w:rPr>
                <w:b/>
                <w:sz w:val="24"/>
                <w:szCs w:val="24"/>
              </w:rPr>
              <w:t>.</w:t>
            </w:r>
          </w:p>
          <w:p w:rsidR="00FF0759" w:rsidRPr="00FF0759" w:rsidRDefault="00FF0759" w:rsidP="00FF075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FF0759" w:rsidRPr="00FF0759" w:rsidRDefault="00FF0759" w:rsidP="00FF075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FF0759">
              <w:rPr>
                <w:iCs/>
                <w:sz w:val="24"/>
                <w:szCs w:val="24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</w:t>
            </w:r>
            <w:r w:rsidR="00E37ABE">
              <w:rPr>
                <w:iCs/>
                <w:sz w:val="24"/>
                <w:szCs w:val="24"/>
              </w:rPr>
              <w:t>бществом сделок</w:t>
            </w:r>
            <w:r w:rsidRPr="00FF0759">
              <w:rPr>
                <w:iCs/>
                <w:sz w:val="24"/>
                <w:szCs w:val="24"/>
              </w:rPr>
              <w:t>, определенное с учетом положений пункта</w:t>
            </w:r>
            <w:r w:rsidRPr="00FF0759">
              <w:rPr>
                <w:sz w:val="24"/>
                <w:szCs w:val="24"/>
              </w:rPr>
              <w:t> 4.20 </w:t>
            </w:r>
            <w:r w:rsidRPr="00FF0759">
              <w:rPr>
                <w:iCs/>
                <w:sz w:val="24"/>
                <w:szCs w:val="24"/>
              </w:rPr>
              <w:t>Положения о дополнительных требованиях к порядку подготовки, созыва и проведения общего собрания акционеров (утвержденного Приказом Федеральной службы по финансовым рынкам от 2 февраля 2012 г. N 12</w:t>
            </w:r>
            <w:r w:rsidRPr="00FF0759">
              <w:rPr>
                <w:iCs/>
                <w:sz w:val="24"/>
                <w:szCs w:val="24"/>
              </w:rPr>
              <w:noBreakHyphen/>
              <w:t>6/пз-н</w:t>
            </w:r>
            <w:r w:rsidRPr="00FF0759">
              <w:rPr>
                <w:b/>
                <w:sz w:val="24"/>
                <w:szCs w:val="24"/>
              </w:rPr>
              <w:t xml:space="preserve">: </w:t>
            </w:r>
            <w:bookmarkStart w:id="1" w:name="В001_ГолВсегоКворум"/>
            <w:r w:rsidRPr="003957DF">
              <w:rPr>
                <w:b/>
                <w:i/>
                <w:sz w:val="24"/>
                <w:szCs w:val="24"/>
              </w:rPr>
              <w:t>2 735 941 700</w:t>
            </w:r>
            <w:bookmarkEnd w:id="1"/>
            <w:r w:rsidRPr="003957DF">
              <w:rPr>
                <w:b/>
                <w:i/>
                <w:sz w:val="24"/>
                <w:szCs w:val="24"/>
              </w:rPr>
              <w:t>.</w:t>
            </w:r>
          </w:p>
          <w:p w:rsidR="00FF0759" w:rsidRPr="00FF0759" w:rsidRDefault="00FF0759" w:rsidP="00FF0759">
            <w:pPr>
              <w:ind w:left="113" w:right="113"/>
              <w:rPr>
                <w:b/>
                <w:sz w:val="24"/>
                <w:szCs w:val="24"/>
              </w:rPr>
            </w:pPr>
          </w:p>
          <w:p w:rsidR="00FF0759" w:rsidRPr="00FF0759" w:rsidRDefault="00FF0759" w:rsidP="00FF0759">
            <w:pPr>
              <w:ind w:left="113" w:right="113"/>
              <w:jc w:val="both"/>
              <w:rPr>
                <w:sz w:val="24"/>
                <w:szCs w:val="24"/>
              </w:rPr>
            </w:pPr>
            <w:r w:rsidRPr="00FF0759">
              <w:rPr>
                <w:iCs/>
                <w:sz w:val="24"/>
                <w:szCs w:val="24"/>
              </w:rPr>
              <w:t>Число голосов, которыми обладали лица, не заинтересованн</w:t>
            </w:r>
            <w:r w:rsidR="00E37ABE">
              <w:rPr>
                <w:iCs/>
                <w:sz w:val="24"/>
                <w:szCs w:val="24"/>
              </w:rPr>
              <w:t>ые в совершении обществом сделок</w:t>
            </w:r>
            <w:r w:rsidRPr="00FF0759">
              <w:rPr>
                <w:iCs/>
                <w:sz w:val="24"/>
                <w:szCs w:val="24"/>
              </w:rPr>
              <w:t>, принявшие участие в общем собрании акционеров по данному вопросу повестки дня общего собрания акционеров</w:t>
            </w:r>
            <w:r w:rsidRPr="00FF0759">
              <w:rPr>
                <w:sz w:val="24"/>
                <w:szCs w:val="24"/>
              </w:rPr>
              <w:t xml:space="preserve">: </w:t>
            </w:r>
            <w:bookmarkStart w:id="2" w:name="В001_ГолЗарегУчит"/>
            <w:r w:rsidRPr="003957DF">
              <w:rPr>
                <w:b/>
                <w:i/>
                <w:sz w:val="24"/>
                <w:szCs w:val="24"/>
              </w:rPr>
              <w:t>1 590 523 619</w:t>
            </w:r>
            <w:bookmarkEnd w:id="2"/>
            <w:r w:rsidRPr="003957DF">
              <w:rPr>
                <w:b/>
                <w:i/>
                <w:sz w:val="24"/>
                <w:szCs w:val="24"/>
              </w:rPr>
              <w:t xml:space="preserve"> или 58,13 %,</w:t>
            </w:r>
            <w:r w:rsidRPr="00FF0759">
              <w:rPr>
                <w:b/>
                <w:sz w:val="24"/>
                <w:szCs w:val="24"/>
              </w:rPr>
              <w:t xml:space="preserve"> </w:t>
            </w:r>
            <w:r w:rsidRPr="00FF0759">
              <w:rPr>
                <w:sz w:val="24"/>
                <w:szCs w:val="24"/>
              </w:rPr>
              <w:t>что составляет более чем половину голосов размещенных голосующих акций Общества по данному вопросу повестки дня общего собрания акционеров.</w:t>
            </w:r>
          </w:p>
          <w:p w:rsidR="00FF0759" w:rsidRPr="00FF0759" w:rsidRDefault="00FF0759" w:rsidP="00FF0759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FF0759" w:rsidRPr="003957DF" w:rsidRDefault="00FF0759" w:rsidP="00FF0759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3957DF">
              <w:rPr>
                <w:b/>
                <w:i/>
                <w:sz w:val="24"/>
                <w:szCs w:val="24"/>
              </w:rPr>
              <w:t xml:space="preserve">В соответствии с п.1. ст.58 </w:t>
            </w:r>
            <w:r w:rsidRPr="003957DF">
              <w:rPr>
                <w:b/>
                <w:i/>
                <w:snapToGrid w:val="0"/>
                <w:sz w:val="24"/>
                <w:szCs w:val="24"/>
              </w:rPr>
              <w:t xml:space="preserve">Федерального закона «Об акционерных обществах»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957DF">
                <w:rPr>
                  <w:b/>
                  <w:i/>
                  <w:snapToGrid w:val="0"/>
                  <w:sz w:val="24"/>
                  <w:szCs w:val="24"/>
                </w:rPr>
                <w:t>1995 г</w:t>
              </w:r>
            </w:smartTag>
            <w:r w:rsidRPr="003957DF">
              <w:rPr>
                <w:b/>
                <w:i/>
                <w:snapToGrid w:val="0"/>
                <w:sz w:val="24"/>
                <w:szCs w:val="24"/>
              </w:rPr>
              <w:t>. № 208-Ф3 (в действующей редакции)</w:t>
            </w:r>
            <w:r w:rsidRPr="003957DF">
              <w:rPr>
                <w:b/>
                <w:i/>
                <w:sz w:val="24"/>
                <w:szCs w:val="24"/>
              </w:rPr>
              <w:t xml:space="preserve"> кворум по вопросу повестки дня  </w:t>
            </w:r>
            <w:bookmarkStart w:id="3" w:name="В001_КворумТекстФ"/>
            <w:r w:rsidRPr="003957DF">
              <w:rPr>
                <w:b/>
                <w:i/>
                <w:sz w:val="24"/>
                <w:szCs w:val="24"/>
              </w:rPr>
              <w:t>имелся</w:t>
            </w:r>
            <w:bookmarkEnd w:id="3"/>
            <w:r w:rsidRPr="003957DF">
              <w:rPr>
                <w:b/>
                <w:i/>
                <w:sz w:val="24"/>
                <w:szCs w:val="24"/>
              </w:rPr>
              <w:t>.</w:t>
            </w:r>
          </w:p>
          <w:p w:rsidR="00B776AD" w:rsidRPr="00FF0759" w:rsidRDefault="00B776AD" w:rsidP="00FF0759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tabs>
                <w:tab w:val="left" w:pos="540"/>
                <w:tab w:val="left" w:pos="789"/>
                <w:tab w:val="left" w:pos="984"/>
              </w:tabs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>2.5.Повестка дня общего собрания участников (акционеров) эмитента:</w:t>
            </w:r>
          </w:p>
          <w:p w:rsidR="009909E7" w:rsidRPr="00FF0759" w:rsidRDefault="009909E7" w:rsidP="000A7F58">
            <w:pPr>
              <w:shd w:val="clear" w:color="auto" w:fill="FFFFFF"/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bCs/>
                <w:i/>
                <w:sz w:val="24"/>
                <w:szCs w:val="24"/>
              </w:rPr>
              <w:t>1.</w:t>
            </w:r>
            <w:r w:rsidRPr="00FF0759">
              <w:rPr>
                <w:b/>
                <w:i/>
                <w:sz w:val="24"/>
                <w:szCs w:val="24"/>
              </w:rPr>
              <w:t xml:space="preserve"> Об одобрении взаимосвязанных сделок, как сделок, в совершении которых имеется заинтересованность.</w:t>
            </w:r>
          </w:p>
          <w:p w:rsidR="009909E7" w:rsidRPr="00FF0759" w:rsidRDefault="009909E7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>2.6.Результаты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3F1F53" w:rsidRPr="00FF0759" w:rsidRDefault="003F1F53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8A454D" w:rsidRPr="00FF0759" w:rsidRDefault="008A454D" w:rsidP="000A7F58">
            <w:pPr>
              <w:pStyle w:val="a3"/>
              <w:tabs>
                <w:tab w:val="left" w:pos="0"/>
              </w:tabs>
              <w:spacing w:after="0"/>
              <w:ind w:left="113" w:right="113" w:firstLine="709"/>
              <w:jc w:val="both"/>
              <w:rPr>
                <w:b/>
              </w:rPr>
            </w:pPr>
            <w:r w:rsidRPr="00FF0759">
              <w:rPr>
                <w:b/>
                <w:u w:val="single"/>
              </w:rPr>
              <w:t>ВОПРОС № 1:</w:t>
            </w:r>
            <w:r w:rsidRPr="00FF0759">
              <w:rPr>
                <w:b/>
              </w:rPr>
              <w:t xml:space="preserve"> </w:t>
            </w:r>
          </w:p>
          <w:p w:rsidR="003F1F53" w:rsidRPr="00FF0759" w:rsidRDefault="003F1F53" w:rsidP="000A7F58">
            <w:pPr>
              <w:ind w:left="113" w:right="113" w:firstLine="709"/>
              <w:jc w:val="both"/>
              <w:rPr>
                <w:b/>
                <w:sz w:val="24"/>
                <w:szCs w:val="24"/>
              </w:rPr>
            </w:pPr>
          </w:p>
          <w:p w:rsidR="008A454D" w:rsidRPr="00FF0759" w:rsidRDefault="008A454D" w:rsidP="000A7F58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FF0759">
              <w:rPr>
                <w:b/>
                <w:sz w:val="24"/>
                <w:szCs w:val="24"/>
              </w:rPr>
              <w:t xml:space="preserve">ИТОГИ ГОЛОСОВАНИЯ: </w:t>
            </w:r>
          </w:p>
          <w:p w:rsidR="008A454D" w:rsidRDefault="008A454D" w:rsidP="000A7F58">
            <w:pPr>
              <w:ind w:left="113" w:right="113" w:firstLine="709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  <w:p w:rsidR="00FF0759" w:rsidRPr="00FF0759" w:rsidRDefault="00FF0759" w:rsidP="00FF0759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Число голосов, отданных за каждый из вариантов голосования («за», «против» и «воздержался») по данному вопросу повестки дня общего собрания акционеров:</w:t>
            </w:r>
          </w:p>
          <w:p w:rsidR="00FF0759" w:rsidRPr="00FF0759" w:rsidRDefault="00FF0759" w:rsidP="00FF0759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tbl>
            <w:tblPr>
              <w:tblW w:w="92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5"/>
              <w:gridCol w:w="2551"/>
              <w:gridCol w:w="3969"/>
            </w:tblGrid>
            <w:tr w:rsidR="00FF0759" w:rsidRPr="00FF0759" w:rsidTr="00FF0759">
              <w:tc>
                <w:tcPr>
                  <w:tcW w:w="2695" w:type="dxa"/>
                  <w:vAlign w:val="center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Вариант голосования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i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3969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i/>
                      <w:sz w:val="24"/>
                      <w:szCs w:val="24"/>
                    </w:rPr>
                    <w:t>Процент от общего количества голосов, принадлежащих лицам,  не заинтересованным в совершении Обществом сделки</w:t>
                  </w:r>
                </w:p>
              </w:tc>
            </w:tr>
            <w:tr w:rsidR="00FF0759" w:rsidRPr="00FF0759" w:rsidTr="00FF0759">
              <w:tc>
                <w:tcPr>
                  <w:tcW w:w="2695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551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bookmarkStart w:id="4" w:name="В001_ГолЗА"/>
                  <w:r w:rsidRPr="00FF0759">
                    <w:rPr>
                      <w:b/>
                      <w:i/>
                      <w:sz w:val="24"/>
                      <w:szCs w:val="24"/>
                    </w:rPr>
                    <w:t>1 510 048 965</w:t>
                  </w:r>
                  <w:bookmarkEnd w:id="4"/>
                </w:p>
              </w:tc>
              <w:tc>
                <w:tcPr>
                  <w:tcW w:w="3969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i/>
                      <w:sz w:val="24"/>
                      <w:szCs w:val="24"/>
                    </w:rPr>
                    <w:t>55,1930 %</w:t>
                  </w:r>
                </w:p>
              </w:tc>
            </w:tr>
            <w:tr w:rsidR="00FF0759" w:rsidRPr="00FF0759" w:rsidTr="00FF0759">
              <w:tc>
                <w:tcPr>
                  <w:tcW w:w="2695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551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bookmarkStart w:id="5" w:name="В001_ГолПР"/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80 213 306</w:t>
                  </w:r>
                  <w:bookmarkEnd w:id="5"/>
                </w:p>
              </w:tc>
              <w:tc>
                <w:tcPr>
                  <w:tcW w:w="3969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2,9318  %</w:t>
                  </w:r>
                </w:p>
              </w:tc>
            </w:tr>
            <w:tr w:rsidR="00FF0759" w:rsidRPr="00FF0759" w:rsidTr="00FF0759">
              <w:tc>
                <w:tcPr>
                  <w:tcW w:w="2695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2551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bookmarkStart w:id="6" w:name="В001_ГолВЗ"/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1 000</w:t>
                  </w:r>
                  <w:bookmarkEnd w:id="6"/>
                </w:p>
              </w:tc>
              <w:tc>
                <w:tcPr>
                  <w:tcW w:w="3969" w:type="dxa"/>
                </w:tcPr>
                <w:p w:rsidR="00FF0759" w:rsidRPr="00FF0759" w:rsidRDefault="00FF0759" w:rsidP="00FF0759">
                  <w:pPr>
                    <w:ind w:left="113" w:right="11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FF0759">
                    <w:rPr>
                      <w:b/>
                      <w:bCs/>
                      <w:i/>
                      <w:sz w:val="24"/>
                      <w:szCs w:val="24"/>
                    </w:rPr>
                    <w:t>0,0000 %</w:t>
                  </w:r>
                </w:p>
              </w:tc>
            </w:tr>
          </w:tbl>
          <w:p w:rsidR="00FF0759" w:rsidRPr="00FF0759" w:rsidRDefault="00FF0759" w:rsidP="00FF0759">
            <w:pPr>
              <w:ind w:left="113" w:right="113"/>
              <w:rPr>
                <w:sz w:val="24"/>
                <w:szCs w:val="24"/>
              </w:rPr>
            </w:pPr>
          </w:p>
          <w:p w:rsidR="00FF0759" w:rsidRPr="00FF0759" w:rsidRDefault="00FF0759" w:rsidP="00FF0759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недействительными и по иным основаниям: </w:t>
            </w:r>
            <w:bookmarkStart w:id="7" w:name="В001_ГолНДП"/>
            <w:r w:rsidRPr="00FF0759">
              <w:rPr>
                <w:b/>
                <w:i/>
                <w:sz w:val="24"/>
                <w:szCs w:val="24"/>
              </w:rPr>
              <w:t>260 348</w:t>
            </w:r>
            <w:bookmarkEnd w:id="7"/>
            <w:r w:rsidRPr="00FF0759">
              <w:rPr>
                <w:b/>
                <w:i/>
                <w:sz w:val="24"/>
                <w:szCs w:val="24"/>
              </w:rPr>
              <w:t>.</w:t>
            </w:r>
          </w:p>
          <w:p w:rsidR="00FF0759" w:rsidRPr="00FF0759" w:rsidRDefault="00FF0759" w:rsidP="00FF0759">
            <w:pPr>
              <w:ind w:left="113" w:right="113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Голоса, отданные за вариант голосования «за»  </w:t>
            </w:r>
            <w:bookmarkStart w:id="8" w:name="В001_РешТекстФ"/>
            <w:r w:rsidRPr="00FF0759">
              <w:rPr>
                <w:b/>
                <w:i/>
                <w:sz w:val="24"/>
                <w:szCs w:val="24"/>
              </w:rPr>
              <w:t>составляют</w:t>
            </w:r>
            <w:bookmarkEnd w:id="8"/>
            <w:r w:rsidRPr="00FF0759">
              <w:rPr>
                <w:b/>
                <w:i/>
                <w:sz w:val="24"/>
                <w:szCs w:val="24"/>
              </w:rPr>
              <w:t xml:space="preserve">  большинство голосов в</w:t>
            </w:r>
            <w:r w:rsidR="00E37ABE">
              <w:rPr>
                <w:b/>
                <w:i/>
                <w:sz w:val="24"/>
                <w:szCs w:val="24"/>
              </w:rPr>
              <w:t>сех не заинтересованных в сделках</w:t>
            </w:r>
            <w:r w:rsidRPr="00FF0759">
              <w:rPr>
                <w:b/>
                <w:i/>
                <w:sz w:val="24"/>
                <w:szCs w:val="24"/>
              </w:rPr>
              <w:t xml:space="preserve"> акционеров - владельцев голосующих акций общества по данному вопросу повестки дня.</w:t>
            </w:r>
          </w:p>
          <w:p w:rsidR="00FF0759" w:rsidRPr="00FF0759" w:rsidRDefault="00FF0759" w:rsidP="00FF0759">
            <w:pPr>
              <w:ind w:left="113" w:right="113" w:firstLine="709"/>
              <w:jc w:val="both"/>
              <w:rPr>
                <w:spacing w:val="-2"/>
                <w:sz w:val="24"/>
                <w:szCs w:val="24"/>
              </w:rPr>
            </w:pPr>
          </w:p>
          <w:p w:rsidR="008A454D" w:rsidRDefault="008A454D" w:rsidP="000A7F58">
            <w:pPr>
              <w:pStyle w:val="211"/>
              <w:tabs>
                <w:tab w:val="clear" w:pos="432"/>
                <w:tab w:val="clear" w:pos="720"/>
                <w:tab w:val="clear" w:pos="864"/>
                <w:tab w:val="clear" w:pos="1008"/>
                <w:tab w:val="clear" w:pos="2304"/>
                <w:tab w:val="clear" w:pos="2448"/>
                <w:tab w:val="clear" w:pos="3024"/>
                <w:tab w:val="clear" w:pos="3600"/>
                <w:tab w:val="clear" w:pos="3888"/>
              </w:tabs>
              <w:ind w:left="113" w:right="113" w:firstLine="709"/>
              <w:rPr>
                <w:b/>
                <w:szCs w:val="24"/>
              </w:rPr>
            </w:pPr>
            <w:r w:rsidRPr="00FF0759">
              <w:rPr>
                <w:b/>
                <w:szCs w:val="24"/>
              </w:rPr>
              <w:t>ПРИНЯТОЕ РЕШЕНИЕ: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Одобрить следующие взаимосвязанные сделки как сделки, в совершении которых имеется заинтересованность: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1.</w:t>
            </w:r>
            <w:r w:rsidRPr="00FF0759">
              <w:rPr>
                <w:b/>
                <w:i/>
                <w:sz w:val="24"/>
                <w:szCs w:val="24"/>
              </w:rPr>
              <w:tab/>
              <w:t>Кредитное соглашение об открытии кредитной линии сроком траншей не более 90 дней между Публичным акционерным обществом «Саратовэнерго» и «Газпромбанк» (Акционерное общество).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Стороны Договора: «Банк» - «Газпромбанк» (Акционерное общество);«Заемщик» - Публичное акционерное общество «Саратовэнерго».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Предмет Договора: Банк обязуется открыть Заемщику Кредитную линию, а Заемщик обязуется возвратить Кредит, полученный по Кредитной линии, уплатить проценты в сроки и в порядке, предусмотренные условиями Соглашения;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Цена Договора: Лимит задолженности по Кредитной линии (максимальный размер единовременной задолженности по Кредитной линии) составляет: 400 000 000 (четыреста миллионов) рублей 00 копеек.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Использование Кредитной линии производится Траншами Кредита, каждый из которых предоставляется на срок не более 90 (Девяносто) дней.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Сумма процентов на срок действия соглашения не более 180 000 000 (сто восемьдесят миллионов) рублей 00 копеек. 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Процентная ставка за пользование предоставленными Траншами не должна превышать ключевую ставку ЦБ РФ плюс 4 (четыре) процента годовых, начисляемых на сумму фактической задолженности по основному долгу. Расчет процентов осуществляется в соответствии с требованиями Положения Банка России от 26.06.1998 №39-П «О порядке начисления процентов по операциям, связанным с привлечением и размещением денежных средств банками».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Срок действия Договора: Три года с момента его подписания.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Иные условия: Банк в одностороннем порядке может изменить размер процентной ставки, в том числе в связи с изменением Банком России ставки рефинансирования и/или ключевой ставки до величины, не превышающей размер ключевой ставки на дату направления уведомления, увеличенной на  4 (четыре) процента годовых. 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Процентная ставка определяется отдельно по каждому траншу Кредита. 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Неустойка в размере 0,03 (ноль целых три сотых) процента начисляется на сумму просроченной задолженности по Основному долгу за каждый день просрочки. Неустойка в размере 0,06 (ноль целых шесть сотых) процента начисляется на сумму просроченной задолженности по процентам за каждый день просрочки.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Банк имеет право по своему усмотрению отменить, прекратить, приостановить использование Кредитной линии или сократить Лимит выдачи/Лимит задолженности до любых размеров или потребовать выполнения денежных обязательств Заемщика в полном объеме ранее установленных сроков с предварительным письменным уведомлением Заемщика в случае ухудшения финансового состояния Заемщика, а так же возбуждения в отношении заемщика процедуры банкротства, наложения ареста на денежные средства заемщика на сумму, превышающую 700 000 000 (семьсот миллионов) рублей.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2. Кредитное соглашение об открытии кредитной линии сроком траншей не более 180 дней между Публичным акционерным обществом «Саратовэнерго» и «Газпромбанк» (Акционерное общество).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Стороны Договора: «Банк» - «Газпромбанк» (Акционерное общество); «Заемщик» - Публичное акционерное общество «Саратовэнерго».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Предмет Договора: Банк обязуется открыть Заемщику Кредитную линию, а Заемщик обязуется возвратить Кредит, полученный по Кредитной линии, уплатить проценты в сроки и в порядке, предусмотренные условиями Соглашения;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Цена Договора: Лимит задолженности по Кредитной линии (максимальный размер единовременной задолженности по Кредитной линии) составляет: 400 000 000 (четыреста миллионов) рублей 00 копеек.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Использование Кредитной линии производится Траншами Кредита, каждый из которых предоставляется на срок не более 180 (Сто восемьдесят) дней.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Сумма процентов на срок действия соглашения  не более 180 000 000 (сто восемьдесят миллионов) рублей 00 копеек. 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Процентная ставка за пользование предоставленными Траншами не должна превышать ключевую ставку ЦБ РФ плюс 4 (четыре) процента годовых, начисляемых на сумму фактической задолженности по основному долгу. Расчет процентов осуществляется в соответствии с требованиями Положения Банка России от 26.06.1998 №39-П «О порядке начисления процентов по операциям, связанным с привлечением и размещением денежных средств банками».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Срок действия Договора: Три года с момента его подписания.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Иные условия: Банк в одностороннем порядке может изменить размер процентной ставки, в том числе в связи с изменением Банком России ставки рефинансирования и/или ключевой ставки до величины, не превышающей размер ключевой ставки на дату направления уведомления, увеличенной на 4 (четыре) процента годовых. 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 xml:space="preserve">Процентная ставка определяется отдельно по каждому траншу Кредита. 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Неустойка в размере 0,03 (ноль целых три сотых) процентов начисляется на сумму просроченной задолженности по Основному долгу за каждый день просрочки. Неустойка в размере 0,06 (ноль целых шесть сотых) процентов начисляется на сумму просроченной задолженности по процентам за каждый день просрочки.</w:t>
            </w:r>
          </w:p>
          <w:p w:rsidR="00FF0759" w:rsidRPr="00FF0759" w:rsidRDefault="00FF0759" w:rsidP="00FF0759">
            <w:pPr>
              <w:tabs>
                <w:tab w:val="center" w:pos="240"/>
                <w:tab w:val="left" w:pos="36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b/>
                <w:i/>
                <w:sz w:val="24"/>
                <w:szCs w:val="24"/>
              </w:rPr>
              <w:t>Банк имеет право по своему усмотрению отменить, прекратить, приостановить использование Кредитной линии или сократить Лимит выдачи/Лимит задолженности до любых размеров или потребовать выполнения денежных обязательств Заемщика в полном объеме ранее установленных сроков с предварительным письменным уведомлением Заемщика в случае ухудшения финансового состояния Заемщика, а так же возбуждения в отношении заемщика процедуры банкротства, наложения ареста на денежные средства заемщика на сумму, превышающую 700 000 000 (семьсот миллионов) рублей.</w:t>
            </w:r>
          </w:p>
          <w:p w:rsidR="009909E7" w:rsidRPr="00FF0759" w:rsidRDefault="009909E7" w:rsidP="000A7F58">
            <w:pPr>
              <w:adjustRightInd w:val="0"/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B776AD" w:rsidRPr="00FF0759" w:rsidRDefault="00B776AD" w:rsidP="000A7F58">
            <w:pPr>
              <w:adjustRightInd w:val="0"/>
              <w:ind w:left="113" w:right="113" w:firstLine="709"/>
              <w:jc w:val="both"/>
              <w:rPr>
                <w:b/>
                <w:i/>
                <w:sz w:val="24"/>
                <w:szCs w:val="24"/>
              </w:rPr>
            </w:pPr>
            <w:r w:rsidRPr="00FF0759">
              <w:rPr>
                <w:sz w:val="24"/>
                <w:szCs w:val="24"/>
              </w:rPr>
              <w:t xml:space="preserve">2.7.Дата составления и номер протокола общего собрания участников (акционеров) эмитента: </w:t>
            </w:r>
            <w:r w:rsidR="00F33E3B" w:rsidRPr="00FF0759">
              <w:rPr>
                <w:b/>
                <w:i/>
                <w:sz w:val="24"/>
                <w:szCs w:val="24"/>
              </w:rPr>
              <w:t xml:space="preserve">29 </w:t>
            </w:r>
            <w:r w:rsidR="000B3F04" w:rsidRPr="00FF0759">
              <w:rPr>
                <w:b/>
                <w:i/>
                <w:sz w:val="24"/>
                <w:szCs w:val="24"/>
              </w:rPr>
              <w:t>декабря  2015 года, протокол №37</w:t>
            </w:r>
            <w:r w:rsidR="0009366D" w:rsidRPr="00FF0759">
              <w:rPr>
                <w:b/>
                <w:i/>
                <w:sz w:val="24"/>
                <w:szCs w:val="24"/>
              </w:rPr>
              <w:t>.</w:t>
            </w:r>
          </w:p>
          <w:p w:rsidR="00B776AD" w:rsidRPr="00FF0759" w:rsidRDefault="00B776AD" w:rsidP="00740AC3">
            <w:pPr>
              <w:tabs>
                <w:tab w:val="num" w:pos="539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:rsidR="00B776AD" w:rsidRPr="00740AC3" w:rsidRDefault="00B776AD" w:rsidP="00740AC3">
      <w:pPr>
        <w:ind w:left="113" w:right="113"/>
        <w:rPr>
          <w:sz w:val="24"/>
          <w:szCs w:val="24"/>
        </w:rPr>
      </w:pPr>
    </w:p>
    <w:p w:rsidR="00B776AD" w:rsidRPr="00740AC3" w:rsidRDefault="00B776AD" w:rsidP="00740AC3">
      <w:pPr>
        <w:ind w:left="113" w:right="113"/>
        <w:rPr>
          <w:sz w:val="24"/>
          <w:szCs w:val="24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B776AD" w:rsidRPr="00740AC3" w:rsidTr="00740AC3">
        <w:trPr>
          <w:cantSplit/>
        </w:trPr>
        <w:tc>
          <w:tcPr>
            <w:tcW w:w="9498" w:type="dxa"/>
          </w:tcPr>
          <w:p w:rsidR="00B776AD" w:rsidRPr="00740AC3" w:rsidRDefault="00B776AD" w:rsidP="00740AC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776AD" w:rsidRPr="00740AC3" w:rsidRDefault="00B776AD" w:rsidP="00740A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>3. Подпись</w:t>
            </w:r>
          </w:p>
          <w:p w:rsidR="00B776AD" w:rsidRPr="00740AC3" w:rsidRDefault="00B776AD" w:rsidP="00740AC3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76AD" w:rsidRPr="00EA493D" w:rsidTr="00740AC3">
        <w:trPr>
          <w:cantSplit/>
        </w:trPr>
        <w:tc>
          <w:tcPr>
            <w:tcW w:w="9498" w:type="dxa"/>
            <w:vAlign w:val="bottom"/>
          </w:tcPr>
          <w:p w:rsidR="00B776AD" w:rsidRDefault="00B776AD" w:rsidP="00B776AD">
            <w:pPr>
              <w:ind w:left="113" w:right="113"/>
              <w:rPr>
                <w:sz w:val="24"/>
                <w:szCs w:val="24"/>
              </w:rPr>
            </w:pPr>
          </w:p>
          <w:p w:rsidR="00B776AD" w:rsidRPr="00EA493D" w:rsidRDefault="00B776AD" w:rsidP="00B776AD">
            <w:pPr>
              <w:ind w:left="113" w:right="113"/>
              <w:rPr>
                <w:b/>
                <w:i/>
                <w:sz w:val="22"/>
                <w:szCs w:val="22"/>
              </w:rPr>
            </w:pPr>
            <w:r w:rsidRPr="00EA493D">
              <w:rPr>
                <w:sz w:val="24"/>
                <w:szCs w:val="24"/>
              </w:rPr>
              <w:t>3.1.</w:t>
            </w:r>
            <w:r w:rsidRPr="00EA493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Генеральный директор                                            </w:t>
            </w:r>
            <w:r w:rsidRPr="00EA493D">
              <w:rPr>
                <w:b/>
                <w:i/>
                <w:sz w:val="22"/>
                <w:szCs w:val="22"/>
              </w:rPr>
              <w:t xml:space="preserve">                                                А.А.</w:t>
            </w:r>
            <w:r w:rsidR="007F48A2">
              <w:rPr>
                <w:b/>
                <w:i/>
                <w:sz w:val="22"/>
                <w:szCs w:val="22"/>
              </w:rPr>
              <w:t xml:space="preserve"> </w:t>
            </w:r>
            <w:r w:rsidRPr="00EA493D">
              <w:rPr>
                <w:b/>
                <w:i/>
                <w:sz w:val="22"/>
                <w:szCs w:val="22"/>
              </w:rPr>
              <w:t>Щербаков</w:t>
            </w:r>
          </w:p>
          <w:p w:rsidR="00B776AD" w:rsidRPr="00EA493D" w:rsidRDefault="00B776AD" w:rsidP="002A4D22">
            <w:pPr>
              <w:ind w:left="113" w:right="113"/>
              <w:rPr>
                <w:i/>
                <w:sz w:val="22"/>
                <w:szCs w:val="22"/>
              </w:rPr>
            </w:pPr>
          </w:p>
          <w:p w:rsidR="00B776AD" w:rsidRPr="00EA493D" w:rsidRDefault="00B776AD" w:rsidP="002A4D22">
            <w:pPr>
              <w:ind w:left="113" w:right="113"/>
              <w:rPr>
                <w:b/>
                <w:sz w:val="22"/>
                <w:szCs w:val="22"/>
              </w:rPr>
            </w:pPr>
            <w:r w:rsidRPr="00EA493D">
              <w:rPr>
                <w:sz w:val="22"/>
                <w:szCs w:val="22"/>
              </w:rPr>
              <w:t xml:space="preserve">3.2. </w:t>
            </w:r>
            <w:r w:rsidRPr="00EA493D">
              <w:rPr>
                <w:b/>
                <w:i/>
                <w:sz w:val="22"/>
                <w:szCs w:val="22"/>
              </w:rPr>
              <w:t xml:space="preserve">Дата:  </w:t>
            </w:r>
            <w:r w:rsidR="000A7F58">
              <w:rPr>
                <w:b/>
                <w:i/>
                <w:sz w:val="22"/>
                <w:szCs w:val="22"/>
              </w:rPr>
              <w:t>29</w:t>
            </w:r>
            <w:r w:rsidR="007F48A2">
              <w:rPr>
                <w:b/>
                <w:i/>
                <w:sz w:val="22"/>
                <w:szCs w:val="22"/>
              </w:rPr>
              <w:t xml:space="preserve"> </w:t>
            </w:r>
            <w:r w:rsidR="00F33E3B">
              <w:rPr>
                <w:b/>
                <w:i/>
                <w:sz w:val="22"/>
                <w:szCs w:val="22"/>
              </w:rPr>
              <w:t xml:space="preserve">декабря </w:t>
            </w:r>
            <w:r w:rsidR="00740AC3">
              <w:rPr>
                <w:b/>
                <w:i/>
                <w:sz w:val="22"/>
                <w:szCs w:val="22"/>
              </w:rPr>
              <w:t>2015</w:t>
            </w:r>
            <w:r w:rsidR="0009366D">
              <w:rPr>
                <w:b/>
                <w:i/>
                <w:sz w:val="22"/>
                <w:szCs w:val="22"/>
              </w:rPr>
              <w:t xml:space="preserve"> </w:t>
            </w:r>
            <w:r w:rsidRPr="00EA493D">
              <w:rPr>
                <w:b/>
                <w:i/>
                <w:sz w:val="22"/>
                <w:szCs w:val="22"/>
              </w:rPr>
              <w:t xml:space="preserve">г. </w:t>
            </w:r>
            <w:r w:rsidRPr="00EA493D">
              <w:rPr>
                <w:sz w:val="22"/>
                <w:szCs w:val="22"/>
              </w:rPr>
              <w:t xml:space="preserve">                                                М.П.</w:t>
            </w:r>
          </w:p>
          <w:p w:rsidR="00B776AD" w:rsidRPr="00EA493D" w:rsidRDefault="00B776AD" w:rsidP="002A4D22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</w:tbl>
    <w:p w:rsidR="00C84FD1" w:rsidRDefault="007C415C"/>
    <w:sectPr w:rsidR="00C84FD1" w:rsidSect="005F6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5C" w:rsidRDefault="007C415C" w:rsidP="009D6005">
      <w:r>
        <w:separator/>
      </w:r>
    </w:p>
  </w:endnote>
  <w:endnote w:type="continuationSeparator" w:id="0">
    <w:p w:rsidR="007C415C" w:rsidRDefault="007C415C" w:rsidP="009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99625"/>
      <w:docPartObj>
        <w:docPartGallery w:val="Page Numbers (Bottom of Page)"/>
        <w:docPartUnique/>
      </w:docPartObj>
    </w:sdtPr>
    <w:sdtEndPr/>
    <w:sdtContent>
      <w:p w:rsidR="003F1F53" w:rsidRDefault="003F1F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D6">
          <w:rPr>
            <w:noProof/>
          </w:rPr>
          <w:t>2</w:t>
        </w:r>
        <w:r>
          <w:fldChar w:fldCharType="end"/>
        </w:r>
      </w:p>
    </w:sdtContent>
  </w:sdt>
  <w:p w:rsidR="009D6005" w:rsidRDefault="009D60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5C" w:rsidRDefault="007C415C" w:rsidP="009D6005">
      <w:r>
        <w:separator/>
      </w:r>
    </w:p>
  </w:footnote>
  <w:footnote w:type="continuationSeparator" w:id="0">
    <w:p w:rsidR="007C415C" w:rsidRDefault="007C415C" w:rsidP="009D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EC70CE"/>
    <w:multiLevelType w:val="hybridMultilevel"/>
    <w:tmpl w:val="72F22F18"/>
    <w:lvl w:ilvl="0" w:tplc="3B68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E751DD"/>
    <w:multiLevelType w:val="hybridMultilevel"/>
    <w:tmpl w:val="8CBE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F65B0"/>
    <w:multiLevelType w:val="hybridMultilevel"/>
    <w:tmpl w:val="9CCA89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C7065"/>
    <w:multiLevelType w:val="hybridMultilevel"/>
    <w:tmpl w:val="4ABE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25CFE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AD"/>
    <w:rsid w:val="00005D60"/>
    <w:rsid w:val="00010FA7"/>
    <w:rsid w:val="000621D2"/>
    <w:rsid w:val="0009366D"/>
    <w:rsid w:val="000A7F58"/>
    <w:rsid w:val="000B3F04"/>
    <w:rsid w:val="000F48E3"/>
    <w:rsid w:val="00117E83"/>
    <w:rsid w:val="001B5E48"/>
    <w:rsid w:val="00200783"/>
    <w:rsid w:val="00244088"/>
    <w:rsid w:val="002615DE"/>
    <w:rsid w:val="0027033B"/>
    <w:rsid w:val="002A48A1"/>
    <w:rsid w:val="002E320D"/>
    <w:rsid w:val="00307419"/>
    <w:rsid w:val="00370201"/>
    <w:rsid w:val="00381540"/>
    <w:rsid w:val="00390DD6"/>
    <w:rsid w:val="003957DF"/>
    <w:rsid w:val="003F1F53"/>
    <w:rsid w:val="00414265"/>
    <w:rsid w:val="0042378B"/>
    <w:rsid w:val="004A0BFB"/>
    <w:rsid w:val="004A5746"/>
    <w:rsid w:val="004E6BD1"/>
    <w:rsid w:val="0054724C"/>
    <w:rsid w:val="00557EC9"/>
    <w:rsid w:val="005B54A2"/>
    <w:rsid w:val="005D772C"/>
    <w:rsid w:val="005F6F06"/>
    <w:rsid w:val="00632B82"/>
    <w:rsid w:val="00635224"/>
    <w:rsid w:val="006504F5"/>
    <w:rsid w:val="006869B4"/>
    <w:rsid w:val="00740AC3"/>
    <w:rsid w:val="00770B34"/>
    <w:rsid w:val="00771FFD"/>
    <w:rsid w:val="007C415C"/>
    <w:rsid w:val="007D34C5"/>
    <w:rsid w:val="007F48A2"/>
    <w:rsid w:val="008437A5"/>
    <w:rsid w:val="008A454D"/>
    <w:rsid w:val="00904A40"/>
    <w:rsid w:val="00933BA6"/>
    <w:rsid w:val="00954D5F"/>
    <w:rsid w:val="009739CE"/>
    <w:rsid w:val="009909E7"/>
    <w:rsid w:val="009D6005"/>
    <w:rsid w:val="00B776AD"/>
    <w:rsid w:val="00BA6EB7"/>
    <w:rsid w:val="00BD760E"/>
    <w:rsid w:val="00BE3D7D"/>
    <w:rsid w:val="00BF57FC"/>
    <w:rsid w:val="00C15C64"/>
    <w:rsid w:val="00C54DA0"/>
    <w:rsid w:val="00C557E5"/>
    <w:rsid w:val="00C9180B"/>
    <w:rsid w:val="00CD4193"/>
    <w:rsid w:val="00D02091"/>
    <w:rsid w:val="00E01F78"/>
    <w:rsid w:val="00E37ABE"/>
    <w:rsid w:val="00E54BCA"/>
    <w:rsid w:val="00E67A61"/>
    <w:rsid w:val="00E72F8B"/>
    <w:rsid w:val="00EE4839"/>
    <w:rsid w:val="00F33E3B"/>
    <w:rsid w:val="00F60FB7"/>
    <w:rsid w:val="00F8606D"/>
    <w:rsid w:val="00F949F1"/>
    <w:rsid w:val="00FD1B43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776A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776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aliases w:val="body text,текст таблицы,Шаблон для отчетов по оценке,Подпись1,Iniiaiie oaeno Ciae,бпОсновной текст,Îñíîâíîé òåêñò Çíàê,oaeno oaaeeou,Oaaeii aey io?aoia ii ioaiea,Iiaienu1,Основной текст Знак Знак Знак Знак Знак Знак"/>
    <w:basedOn w:val="a"/>
    <w:link w:val="1"/>
    <w:uiPriority w:val="99"/>
    <w:rsid w:val="00B776AD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77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,текст таблицы Знак,Шаблон для отчетов по оценке Знак,Подпись1 Знак,Iniiaiie oaeno Ciae Знак,бпОсновной текст Знак,Îñíîâíîé òåêñò Çíàê Знак,oaeno oaaeeou Знак,Oaaeii aey io?aoia ii ioaiea Знак,Iiaienu1 Знак"/>
    <w:basedOn w:val="a0"/>
    <w:link w:val="a3"/>
    <w:uiPriority w:val="99"/>
    <w:locked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776A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776AD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B776AD"/>
    <w:pPr>
      <w:autoSpaceDE/>
      <w:autoSpaceDN/>
      <w:spacing w:before="100" w:after="100"/>
    </w:pPr>
    <w:rPr>
      <w:rFonts w:ascii="Arial Unicode MS" w:eastAsia="Arial Unicode MS" w:hAnsi="Arial Unicode MS"/>
      <w:sz w:val="24"/>
    </w:rPr>
  </w:style>
  <w:style w:type="character" w:styleId="a7">
    <w:name w:val="Strong"/>
    <w:basedOn w:val="a0"/>
    <w:qFormat/>
    <w:rsid w:val="00B776AD"/>
    <w:rPr>
      <w:rFonts w:ascii="Verdana" w:hAnsi="Verdana" w:cs="Times New Roman"/>
      <w:b/>
      <w:bCs/>
      <w:lang w:val="en-US" w:eastAsia="en-US" w:bidi="ar-SA"/>
    </w:rPr>
  </w:style>
  <w:style w:type="character" w:styleId="a8">
    <w:name w:val="Hyperlink"/>
    <w:basedOn w:val="a0"/>
    <w:uiPriority w:val="99"/>
    <w:rsid w:val="00B776AD"/>
    <w:rPr>
      <w:rFonts w:cs="Times New Roman"/>
      <w:color w:val="0000FF"/>
      <w:u w:val="single"/>
    </w:rPr>
  </w:style>
  <w:style w:type="paragraph" w:customStyle="1" w:styleId="10">
    <w:name w:val="Без интервала1"/>
    <w:rsid w:val="0020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D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60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0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8A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A454D"/>
    <w:pPr>
      <w:widowControl w:val="0"/>
      <w:tabs>
        <w:tab w:val="left" w:pos="720"/>
        <w:tab w:val="left" w:pos="864"/>
        <w:tab w:val="left" w:pos="4176"/>
      </w:tabs>
      <w:suppressAutoHyphens/>
      <w:autoSpaceDE/>
      <w:autoSpaceDN/>
      <w:ind w:left="720"/>
    </w:pPr>
    <w:rPr>
      <w:rFonts w:ascii="Courier New" w:hAnsi="Courier New" w:cs="Courier New"/>
      <w:sz w:val="24"/>
      <w:lang w:eastAsia="ar-SA"/>
    </w:rPr>
  </w:style>
  <w:style w:type="paragraph" w:customStyle="1" w:styleId="211">
    <w:name w:val="Основной текст 21"/>
    <w:basedOn w:val="a"/>
    <w:rsid w:val="008A454D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autoSpaceDE/>
      <w:autoSpaceDN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776A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776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aliases w:val="body text,текст таблицы,Шаблон для отчетов по оценке,Подпись1,Iniiaiie oaeno Ciae,бпОсновной текст,Îñíîâíîé òåêñò Çíàê,oaeno oaaeeou,Oaaeii aey io?aoia ii ioaiea,Iiaienu1,Основной текст Знак Знак Знак Знак Знак Знак"/>
    <w:basedOn w:val="a"/>
    <w:link w:val="1"/>
    <w:uiPriority w:val="99"/>
    <w:rsid w:val="00B776AD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77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,текст таблицы Знак,Шаблон для отчетов по оценке Знак,Подпись1 Знак,Iniiaiie oaeno Ciae Знак,бпОсновной текст Знак,Îñíîâíîé òåêñò Çíàê Знак,oaeno oaaeeou Знак,Oaaeii aey io?aoia ii ioaiea Знак,Iiaienu1 Знак"/>
    <w:basedOn w:val="a0"/>
    <w:link w:val="a3"/>
    <w:uiPriority w:val="99"/>
    <w:locked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776A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776AD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B776AD"/>
    <w:pPr>
      <w:autoSpaceDE/>
      <w:autoSpaceDN/>
      <w:spacing w:before="100" w:after="100"/>
    </w:pPr>
    <w:rPr>
      <w:rFonts w:ascii="Arial Unicode MS" w:eastAsia="Arial Unicode MS" w:hAnsi="Arial Unicode MS"/>
      <w:sz w:val="24"/>
    </w:rPr>
  </w:style>
  <w:style w:type="character" w:styleId="a7">
    <w:name w:val="Strong"/>
    <w:basedOn w:val="a0"/>
    <w:qFormat/>
    <w:rsid w:val="00B776AD"/>
    <w:rPr>
      <w:rFonts w:ascii="Verdana" w:hAnsi="Verdana" w:cs="Times New Roman"/>
      <w:b/>
      <w:bCs/>
      <w:lang w:val="en-US" w:eastAsia="en-US" w:bidi="ar-SA"/>
    </w:rPr>
  </w:style>
  <w:style w:type="character" w:styleId="a8">
    <w:name w:val="Hyperlink"/>
    <w:basedOn w:val="a0"/>
    <w:uiPriority w:val="99"/>
    <w:rsid w:val="00B776AD"/>
    <w:rPr>
      <w:rFonts w:cs="Times New Roman"/>
      <w:color w:val="0000FF"/>
      <w:u w:val="single"/>
    </w:rPr>
  </w:style>
  <w:style w:type="paragraph" w:customStyle="1" w:styleId="10">
    <w:name w:val="Без интервала1"/>
    <w:rsid w:val="0020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D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60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0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8A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A454D"/>
    <w:pPr>
      <w:widowControl w:val="0"/>
      <w:tabs>
        <w:tab w:val="left" w:pos="720"/>
        <w:tab w:val="left" w:pos="864"/>
        <w:tab w:val="left" w:pos="4176"/>
      </w:tabs>
      <w:suppressAutoHyphens/>
      <w:autoSpaceDE/>
      <w:autoSpaceDN/>
      <w:ind w:left="720"/>
    </w:pPr>
    <w:rPr>
      <w:rFonts w:ascii="Courier New" w:hAnsi="Courier New" w:cs="Courier New"/>
      <w:sz w:val="24"/>
      <w:lang w:eastAsia="ar-SA"/>
    </w:rPr>
  </w:style>
  <w:style w:type="paragraph" w:customStyle="1" w:styleId="211">
    <w:name w:val="Основной текст 21"/>
    <w:basedOn w:val="a"/>
    <w:rsid w:val="008A454D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autoSpaceDE/>
      <w:autoSpaceDN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ratov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"Саратовэнерго"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</dc:creator>
  <cp:lastModifiedBy>Блохина Юлия Владимировна</cp:lastModifiedBy>
  <cp:revision>5</cp:revision>
  <cp:lastPrinted>2015-12-30T04:52:00Z</cp:lastPrinted>
  <dcterms:created xsi:type="dcterms:W3CDTF">2015-12-30T04:50:00Z</dcterms:created>
  <dcterms:modified xsi:type="dcterms:W3CDTF">2015-12-30T04:52:00Z</dcterms:modified>
</cp:coreProperties>
</file>