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6762CA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900A8A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28</w:t>
            </w:r>
            <w:r w:rsidR="00245483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5483">
              <w:rPr>
                <w:b/>
                <w:i/>
                <w:sz w:val="24"/>
                <w:szCs w:val="24"/>
                <w:lang w:val="en-US"/>
              </w:rPr>
              <w:t>августа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900A8A" w:rsidRDefault="008D0B62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6762CA" w:rsidRDefault="001C7422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6762CA" w:rsidRDefault="001C7422" w:rsidP="004D612F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2CA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900A8A" w:rsidRPr="006762CA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7</w:t>
            </w:r>
            <w:r w:rsidRPr="006762CA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3C0966" w:rsidRPr="006762CA" w:rsidRDefault="003C0966" w:rsidP="004D612F">
            <w:pPr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6762CA" w:rsidRDefault="00053AF9" w:rsidP="004D612F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2CA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6762CA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6762CA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6762CA">
              <w:rPr>
                <w:b/>
                <w:i/>
                <w:sz w:val="24"/>
                <w:szCs w:val="24"/>
              </w:rPr>
              <w:t>-</w:t>
            </w:r>
            <w:r w:rsidRPr="006762CA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6762C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C0966" w:rsidRPr="006762CA" w:rsidRDefault="003C0966" w:rsidP="004D612F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6762CA" w:rsidRDefault="001C7422" w:rsidP="004D612F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6762CA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6762CA" w:rsidRDefault="001C7422" w:rsidP="004D612F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</w:p>
          <w:p w:rsidR="001C7422" w:rsidRPr="006762CA" w:rsidRDefault="001C7422" w:rsidP="004D612F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4D612F" w:rsidRPr="006762CA" w:rsidRDefault="004D612F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095AF7" w:rsidRPr="006762CA" w:rsidRDefault="00095AF7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По </w:t>
            </w:r>
            <w:r w:rsidR="006762CA">
              <w:rPr>
                <w:sz w:val="24"/>
                <w:szCs w:val="24"/>
              </w:rPr>
              <w:t xml:space="preserve">1. 2, </w:t>
            </w:r>
            <w:r w:rsidRPr="006762CA">
              <w:rPr>
                <w:sz w:val="24"/>
                <w:szCs w:val="24"/>
              </w:rPr>
              <w:t>4, 5, 7.2</w:t>
            </w:r>
            <w:r w:rsidRPr="006762CA">
              <w:rPr>
                <w:sz w:val="24"/>
                <w:szCs w:val="24"/>
              </w:rPr>
              <w:t xml:space="preserve"> вопросам повестки дня результаты голосования сложились следующим образом: 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 «за» - 7</w:t>
            </w:r>
            <w:r w:rsidRPr="006762CA">
              <w:rPr>
                <w:sz w:val="24"/>
                <w:szCs w:val="24"/>
              </w:rPr>
              <w:t xml:space="preserve"> голосов,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«против»- нет,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«воздержался» - нет.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095AF7" w:rsidRPr="006762CA" w:rsidRDefault="00095AF7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По </w:t>
            </w:r>
            <w:r w:rsidR="004D612F" w:rsidRPr="006762CA">
              <w:rPr>
                <w:sz w:val="24"/>
                <w:szCs w:val="24"/>
              </w:rPr>
              <w:t xml:space="preserve">3, </w:t>
            </w:r>
            <w:r w:rsidRPr="006762CA">
              <w:rPr>
                <w:sz w:val="24"/>
                <w:szCs w:val="24"/>
              </w:rPr>
              <w:t>6</w:t>
            </w:r>
            <w:r w:rsidR="004D612F" w:rsidRPr="006762CA">
              <w:rPr>
                <w:sz w:val="24"/>
                <w:szCs w:val="24"/>
              </w:rPr>
              <w:t>, 7.1.</w:t>
            </w:r>
            <w:r w:rsidRPr="006762CA">
              <w:rPr>
                <w:sz w:val="24"/>
                <w:szCs w:val="24"/>
              </w:rPr>
              <w:t xml:space="preserve"> вопросам повестки дня результаты голосования сложились следующим образом: 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 «за» - 6</w:t>
            </w:r>
            <w:r w:rsidRPr="006762CA">
              <w:rPr>
                <w:sz w:val="24"/>
                <w:szCs w:val="24"/>
              </w:rPr>
              <w:t xml:space="preserve"> голосов,</w:t>
            </w:r>
          </w:p>
          <w:p w:rsidR="00095AF7" w:rsidRPr="006762CA" w:rsidRDefault="00095AF7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lastRenderedPageBreak/>
              <w:t>«против»- 1 голос</w:t>
            </w:r>
            <w:r w:rsidRPr="006762CA">
              <w:rPr>
                <w:sz w:val="24"/>
                <w:szCs w:val="24"/>
              </w:rPr>
              <w:t>,</w:t>
            </w:r>
          </w:p>
          <w:p w:rsidR="00095AF7" w:rsidRPr="006762CA" w:rsidRDefault="004D612F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«воздержался» - нет.</w:t>
            </w:r>
          </w:p>
          <w:p w:rsidR="001C7422" w:rsidRPr="006762CA" w:rsidRDefault="001C7422" w:rsidP="004D612F">
            <w:pPr>
              <w:suppressAutoHyphens/>
              <w:autoSpaceDE/>
              <w:autoSpaceDN/>
              <w:ind w:left="113" w:right="113" w:firstLine="8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762CA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900A8A" w:rsidRPr="006762CA">
              <w:rPr>
                <w:bCs/>
                <w:i/>
                <w:sz w:val="24"/>
                <w:szCs w:val="24"/>
              </w:rPr>
              <w:t xml:space="preserve"> 1-7</w:t>
            </w:r>
            <w:r w:rsidR="00245483" w:rsidRPr="006762CA">
              <w:rPr>
                <w:bCs/>
                <w:i/>
                <w:sz w:val="24"/>
                <w:szCs w:val="24"/>
              </w:rPr>
              <w:t xml:space="preserve"> вопросам повестки дня</w:t>
            </w:r>
            <w:r w:rsidRPr="006762CA">
              <w:rPr>
                <w:bCs/>
                <w:i/>
                <w:sz w:val="24"/>
                <w:szCs w:val="24"/>
              </w:rPr>
              <w:t>: в соответствии с п.15.3. ст. 15 Устава ПАО «Сара</w:t>
            </w:r>
            <w:r w:rsidR="00EA2408" w:rsidRPr="006762CA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6762CA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6762CA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4D612F" w:rsidRPr="006762CA" w:rsidRDefault="004D612F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4D612F" w:rsidRPr="006762CA" w:rsidRDefault="004D612F" w:rsidP="004D612F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 xml:space="preserve">По 8 </w:t>
            </w:r>
            <w:r w:rsidRPr="006762CA">
              <w:rPr>
                <w:sz w:val="24"/>
                <w:szCs w:val="24"/>
              </w:rPr>
              <w:t xml:space="preserve">вопросу </w:t>
            </w:r>
            <w:r w:rsidRPr="006762CA">
              <w:rPr>
                <w:sz w:val="24"/>
                <w:szCs w:val="24"/>
              </w:rPr>
              <w:t xml:space="preserve">повестки дня результаты голосования сложились следующим образом: </w:t>
            </w:r>
          </w:p>
          <w:p w:rsidR="004D612F" w:rsidRPr="006762CA" w:rsidRDefault="004D612F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«за» - 5</w:t>
            </w:r>
            <w:r w:rsidRPr="006762CA">
              <w:rPr>
                <w:sz w:val="24"/>
                <w:szCs w:val="24"/>
              </w:rPr>
              <w:t xml:space="preserve"> голосов,</w:t>
            </w:r>
          </w:p>
          <w:p w:rsidR="004D612F" w:rsidRPr="006762CA" w:rsidRDefault="004D612F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«против»- 1 голос,</w:t>
            </w:r>
          </w:p>
          <w:p w:rsidR="00900A8A" w:rsidRPr="006762CA" w:rsidRDefault="004D612F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6762CA">
              <w:rPr>
                <w:sz w:val="24"/>
                <w:szCs w:val="24"/>
              </w:rPr>
              <w:t>«воздержался» - нет.</w:t>
            </w:r>
          </w:p>
          <w:p w:rsidR="00900A8A" w:rsidRPr="006762CA" w:rsidRDefault="00900A8A" w:rsidP="004D612F">
            <w:pPr>
              <w:pStyle w:val="2"/>
              <w:ind w:left="113" w:right="113" w:firstLine="8"/>
              <w:rPr>
                <w:bCs/>
                <w:i/>
                <w:szCs w:val="24"/>
              </w:rPr>
            </w:pPr>
            <w:r w:rsidRPr="006762CA">
              <w:rPr>
                <w:bCs/>
                <w:i/>
                <w:szCs w:val="24"/>
              </w:rPr>
              <w:t xml:space="preserve">Квалификация голосования по </w:t>
            </w:r>
            <w:r w:rsidRPr="006762CA">
              <w:rPr>
                <w:bCs/>
                <w:i/>
                <w:szCs w:val="24"/>
              </w:rPr>
              <w:t xml:space="preserve">8 </w:t>
            </w:r>
            <w:r w:rsidRPr="006762CA">
              <w:rPr>
                <w:bCs/>
                <w:i/>
                <w:szCs w:val="24"/>
              </w:rPr>
              <w:t>вопросу: 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с</w:t>
            </w:r>
            <w:bookmarkStart w:id="0" w:name="_GoBack"/>
            <w:bookmarkEnd w:id="0"/>
            <w:r w:rsidRPr="006762CA">
              <w:rPr>
                <w:bCs/>
                <w:i/>
                <w:szCs w:val="24"/>
              </w:rPr>
              <w:t xml:space="preserve">  п.3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900A8A" w:rsidRPr="006762CA" w:rsidRDefault="00900A8A" w:rsidP="004D612F">
            <w:pPr>
              <w:pStyle w:val="2"/>
              <w:ind w:left="113" w:right="113" w:firstLine="8"/>
              <w:rPr>
                <w:bCs/>
                <w:i/>
                <w:szCs w:val="24"/>
              </w:rPr>
            </w:pPr>
            <w:r w:rsidRPr="006762CA">
              <w:rPr>
                <w:bCs/>
                <w:i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900A8A" w:rsidRPr="006762CA" w:rsidRDefault="00900A8A" w:rsidP="004D612F">
            <w:pPr>
              <w:pStyle w:val="2"/>
              <w:ind w:left="113" w:right="113" w:firstLine="8"/>
              <w:rPr>
                <w:bCs/>
                <w:i/>
                <w:szCs w:val="24"/>
              </w:rPr>
            </w:pPr>
            <w:r w:rsidRPr="006762CA">
              <w:rPr>
                <w:bCs/>
                <w:i/>
                <w:szCs w:val="24"/>
              </w:rPr>
              <w:t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</w:t>
            </w:r>
            <w:r w:rsidR="004D612F" w:rsidRPr="006762CA">
              <w:rPr>
                <w:bCs/>
                <w:i/>
                <w:szCs w:val="24"/>
              </w:rPr>
              <w:t xml:space="preserve"> </w:t>
            </w:r>
          </w:p>
          <w:p w:rsidR="001C7422" w:rsidRPr="006762CA" w:rsidRDefault="001C7422" w:rsidP="004D612F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  <w:p w:rsidR="006E205F" w:rsidRPr="004D612F" w:rsidRDefault="001C7422" w:rsidP="004D612F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900A8A" w:rsidRPr="00900A8A" w:rsidRDefault="00900A8A" w:rsidP="004D612F">
            <w:pPr>
              <w:shd w:val="clear" w:color="auto" w:fill="FFFFFF"/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1.ВОПРОС: </w:t>
            </w:r>
            <w:r w:rsidRPr="00900A8A">
              <w:rPr>
                <w:color w:val="000000"/>
                <w:sz w:val="24"/>
                <w:szCs w:val="24"/>
              </w:rPr>
              <w:t xml:space="preserve">Об определении приоритетных направлений деятельности </w:t>
            </w:r>
            <w:r w:rsidRPr="00900A8A">
              <w:rPr>
                <w:color w:val="000000"/>
                <w:sz w:val="24"/>
                <w:szCs w:val="24"/>
              </w:rPr>
              <w:br/>
              <w:t>ПАО «Саратовэнерго».</w:t>
            </w:r>
          </w:p>
          <w:p w:rsidR="00900A8A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900A8A"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900A8A" w:rsidRDefault="00900A8A" w:rsidP="004D612F">
            <w:pPr>
              <w:shd w:val="clear" w:color="auto" w:fill="FFFFFF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1.Принимая во внимание важность соблюдения этических норм, единых стандартов и правил ведения бизнеса в Группе «</w:t>
            </w:r>
            <w:proofErr w:type="spellStart"/>
            <w:r w:rsidRPr="00900A8A">
              <w:rPr>
                <w:sz w:val="24"/>
                <w:szCs w:val="24"/>
              </w:rPr>
              <w:t>Интер</w:t>
            </w:r>
            <w:proofErr w:type="spellEnd"/>
            <w:r w:rsidRPr="00900A8A">
              <w:rPr>
                <w:sz w:val="24"/>
                <w:szCs w:val="24"/>
              </w:rPr>
              <w:t xml:space="preserve"> РАО», в том числе норм в области предупреждения и противодействия коррупции, защиты конкуренции, а также учитывая необходимость обеспечения соответствия деятельности ПАО «Саратовэнерго» этическим принципам и корпоративным ценностям, которым следует контролирующее лицо Общества - ПАО «</w:t>
            </w:r>
            <w:proofErr w:type="spellStart"/>
            <w:r w:rsidRPr="00900A8A">
              <w:rPr>
                <w:sz w:val="24"/>
                <w:szCs w:val="24"/>
              </w:rPr>
              <w:t>Интер</w:t>
            </w:r>
            <w:proofErr w:type="spellEnd"/>
            <w:r w:rsidRPr="00900A8A">
              <w:rPr>
                <w:sz w:val="24"/>
                <w:szCs w:val="24"/>
              </w:rPr>
              <w:t xml:space="preserve"> РАО», считать</w:t>
            </w:r>
            <w:r w:rsidRPr="00900A8A">
              <w:rPr>
                <w:i/>
                <w:iCs/>
                <w:sz w:val="24"/>
                <w:szCs w:val="24"/>
              </w:rPr>
              <w:t> </w:t>
            </w:r>
            <w:r w:rsidRPr="00900A8A">
              <w:rPr>
                <w:sz w:val="24"/>
                <w:szCs w:val="24"/>
              </w:rPr>
              <w:t>соблюдение Кодекса корпоративной этики ПАО «</w:t>
            </w:r>
            <w:proofErr w:type="spellStart"/>
            <w:r w:rsidRPr="00900A8A">
              <w:rPr>
                <w:sz w:val="24"/>
                <w:szCs w:val="24"/>
              </w:rPr>
              <w:t>Интер</w:t>
            </w:r>
            <w:proofErr w:type="spellEnd"/>
            <w:r w:rsidRPr="00900A8A">
              <w:rPr>
                <w:sz w:val="24"/>
                <w:szCs w:val="24"/>
              </w:rPr>
              <w:t xml:space="preserve"> РАО» одним из приоритетных направлений деятельности Общества.</w:t>
            </w:r>
          </w:p>
          <w:p w:rsidR="00900A8A" w:rsidRPr="00900A8A" w:rsidRDefault="00900A8A" w:rsidP="004D612F">
            <w:pPr>
              <w:shd w:val="clear" w:color="auto" w:fill="FFFFFF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2.ПАО «Саратовэнерго» присоединиться к Кодексу корпоративной этики ПАО «</w:t>
            </w:r>
            <w:proofErr w:type="spellStart"/>
            <w:r w:rsidRPr="00900A8A">
              <w:rPr>
                <w:sz w:val="24"/>
                <w:szCs w:val="24"/>
              </w:rPr>
              <w:t>Интер</w:t>
            </w:r>
            <w:proofErr w:type="spellEnd"/>
            <w:r w:rsidRPr="00900A8A">
              <w:rPr>
                <w:sz w:val="24"/>
                <w:szCs w:val="24"/>
              </w:rPr>
              <w:t xml:space="preserve"> РАО», утверждённому Советом директоров ПАО «</w:t>
            </w:r>
            <w:proofErr w:type="spellStart"/>
            <w:r w:rsidRPr="00900A8A">
              <w:rPr>
                <w:sz w:val="24"/>
                <w:szCs w:val="24"/>
              </w:rPr>
              <w:t>Интер</w:t>
            </w:r>
            <w:proofErr w:type="spellEnd"/>
            <w:r w:rsidRPr="00900A8A">
              <w:rPr>
                <w:sz w:val="24"/>
                <w:szCs w:val="24"/>
              </w:rPr>
              <w:t xml:space="preserve"> РАО» 31.07.2020 (Протокол от 03.08.2020 № 277) (далее – Кодекс), применять все нормы Кодекса в деятельности ПАО «Саратовэнерго»</w:t>
            </w:r>
            <w:r w:rsidRPr="00900A8A">
              <w:rPr>
                <w:i/>
                <w:iCs/>
                <w:sz w:val="24"/>
                <w:szCs w:val="24"/>
              </w:rPr>
              <w:t> </w:t>
            </w:r>
            <w:r w:rsidRPr="00900A8A">
              <w:rPr>
                <w:sz w:val="24"/>
                <w:szCs w:val="24"/>
              </w:rPr>
              <w:t>и распространить положения указанного Кодекса на работников, членов органов управления и контроля, физических лиц, работающих по гражданско-правовому договору, заключённому с Обществом,</w:t>
            </w:r>
            <w:r w:rsidRPr="00900A8A">
              <w:rPr>
                <w:i/>
                <w:iCs/>
                <w:sz w:val="24"/>
                <w:szCs w:val="24"/>
              </w:rPr>
              <w:t> </w:t>
            </w:r>
            <w:r w:rsidRPr="00900A8A">
              <w:rPr>
                <w:sz w:val="24"/>
                <w:szCs w:val="24"/>
              </w:rPr>
              <w:t>на</w:t>
            </w:r>
            <w:r w:rsidRPr="00900A8A">
              <w:rPr>
                <w:i/>
                <w:iCs/>
                <w:sz w:val="24"/>
                <w:szCs w:val="24"/>
              </w:rPr>
              <w:t> </w:t>
            </w:r>
            <w:r w:rsidRPr="00900A8A">
              <w:rPr>
                <w:sz w:val="24"/>
                <w:szCs w:val="24"/>
              </w:rPr>
              <w:t>прикомандированный персонал, практикантов, стажеров ПАО «Саратовэнерго»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3.Признать утратившим силу решение Совета директоров </w:t>
            </w:r>
            <w:r w:rsidRPr="00900A8A">
              <w:rPr>
                <w:sz w:val="24"/>
                <w:szCs w:val="24"/>
              </w:rPr>
              <w:br/>
              <w:t>ПАО «Саратовэнерго» от 25.11.2016 (Протокол от 28.11.2016 №168)  в части п.2. вопроса №3 «Об определении приоритетных направлений деятельности Общества» и решение Совета директоров ПАО «Саратовэнерго» от 04.10.2019 (Протокол от 04.10.2019 №245) в части абз.3 п.1. вопроса №1 «</w:t>
            </w:r>
            <w:r w:rsidRPr="00900A8A">
              <w:rPr>
                <w:bCs/>
                <w:sz w:val="24"/>
                <w:szCs w:val="24"/>
              </w:rPr>
              <w:t>О внесении изменений в решение Совета директоров ПАО «Саратовэнерго» от 25.11.2016 (Протокол от 28.11.2016 № 168).</w:t>
            </w:r>
            <w:r w:rsidRPr="00900A8A">
              <w:rPr>
                <w:sz w:val="24"/>
                <w:szCs w:val="24"/>
              </w:rPr>
              <w:t>»</w:t>
            </w:r>
          </w:p>
          <w:p w:rsidR="004D612F" w:rsidRDefault="004D612F" w:rsidP="004D612F">
            <w:pPr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2.ВОПРОС: </w:t>
            </w:r>
            <w:r w:rsidRPr="00900A8A">
              <w:rPr>
                <w:bCs/>
                <w:color w:val="000000"/>
                <w:sz w:val="24"/>
                <w:szCs w:val="24"/>
              </w:rPr>
              <w:t>Об утверждении внутренних документов Общества.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32553F" w:rsidRDefault="00900A8A" w:rsidP="004D612F">
            <w:pPr>
              <w:tabs>
                <w:tab w:val="left" w:pos="993"/>
              </w:tabs>
              <w:ind w:left="113" w:right="113" w:firstLine="8"/>
              <w:jc w:val="both"/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</w:pPr>
            <w:r w:rsidRPr="00900A8A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lastRenderedPageBreak/>
              <w:t>Утвердить Политику «Обеспечение экономической и собственной безопасности» ПАО «Саратов</w:t>
            </w:r>
            <w:r w:rsidR="0032553F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>энерго» согласно приложению №1.</w:t>
            </w:r>
          </w:p>
          <w:p w:rsidR="00900A8A" w:rsidRPr="00900A8A" w:rsidRDefault="00900A8A" w:rsidP="004D612F">
            <w:pPr>
              <w:widowControl w:val="0"/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900A8A" w:rsidRPr="00900A8A" w:rsidRDefault="00900A8A" w:rsidP="004D612F">
            <w:pPr>
              <w:widowControl w:val="0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3.ВОПРОС: </w:t>
            </w:r>
            <w:r w:rsidRPr="00900A8A">
              <w:rPr>
                <w:sz w:val="24"/>
                <w:szCs w:val="24"/>
              </w:rPr>
              <w:t>Об утверждении отчета об итогах выполнения бизнес-плана Общества по результатам 6 месяцев 2020 года, в том числе отчета об итогах выполнения инвестиционной программы по результатам 2 квартала и 6 месяцев 2020 года.</w:t>
            </w:r>
          </w:p>
          <w:p w:rsidR="004D612F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4D612F" w:rsidRDefault="00900A8A" w:rsidP="004D612F">
            <w:pPr>
              <w:shd w:val="clear" w:color="auto" w:fill="FFFFFF"/>
              <w:tabs>
                <w:tab w:val="left" w:pos="121"/>
              </w:tabs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ab/>
              <w:t>Утвердить отчет об итогах выполнения бизнес-плана Общества по результатам 6 месяцев 2020 года, в том числе отчета об итогах выполнения инвестиционной программы по результатам 2 квартала и 6 месяцев 2020 года согласно Приложению №2.</w:t>
            </w:r>
          </w:p>
          <w:p w:rsidR="00900A8A" w:rsidRPr="00900A8A" w:rsidRDefault="00900A8A" w:rsidP="004D612F">
            <w:pPr>
              <w:pStyle w:val="2"/>
              <w:widowControl w:val="0"/>
              <w:ind w:left="113" w:right="113" w:firstLine="8"/>
              <w:rPr>
                <w:szCs w:val="24"/>
              </w:rPr>
            </w:pPr>
          </w:p>
          <w:p w:rsidR="00900A8A" w:rsidRPr="00900A8A" w:rsidRDefault="00900A8A" w:rsidP="004D612F">
            <w:pPr>
              <w:widowControl w:val="0"/>
              <w:ind w:left="113" w:right="113" w:firstLine="8"/>
              <w:jc w:val="both"/>
              <w:rPr>
                <w:bCs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4.ВОПРОС: </w:t>
            </w:r>
            <w:r w:rsidRPr="00900A8A">
              <w:rPr>
                <w:bCs/>
                <w:sz w:val="24"/>
                <w:szCs w:val="24"/>
              </w:rPr>
              <w:t>О рассмотрении отчета Генерального директора о выполнении поручений Совета директоров Общества за 2 квартал 2020 года.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32553F" w:rsidRDefault="00900A8A" w:rsidP="004D612F">
            <w:pPr>
              <w:widowControl w:val="0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Принять к сведению отчёт Генерального директора </w:t>
            </w:r>
            <w:r w:rsidRPr="00900A8A">
              <w:rPr>
                <w:sz w:val="24"/>
                <w:szCs w:val="24"/>
              </w:rPr>
              <w:br/>
              <w:t>ПАО «Саратовэнерго» о выполнении поручений Совета директоров Общества за 2 квартал 2020 года согласно Приложе</w:t>
            </w:r>
            <w:r w:rsidR="0032553F">
              <w:rPr>
                <w:sz w:val="24"/>
                <w:szCs w:val="24"/>
              </w:rPr>
              <w:t>нию №3.</w:t>
            </w:r>
          </w:p>
          <w:p w:rsidR="00900A8A" w:rsidRPr="00900A8A" w:rsidRDefault="00900A8A" w:rsidP="004D612F">
            <w:pPr>
              <w:pStyle w:val="2"/>
              <w:widowControl w:val="0"/>
              <w:ind w:left="113" w:right="113" w:firstLine="8"/>
              <w:rPr>
                <w:szCs w:val="24"/>
              </w:rPr>
            </w:pPr>
          </w:p>
          <w:p w:rsidR="00900A8A" w:rsidRPr="00900A8A" w:rsidRDefault="00900A8A" w:rsidP="004D612F">
            <w:pPr>
              <w:widowControl w:val="0"/>
              <w:ind w:left="113" w:right="113" w:firstLine="8"/>
              <w:jc w:val="both"/>
              <w:rPr>
                <w:b/>
                <w:bCs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5.ВОПРОС: </w:t>
            </w:r>
            <w:r w:rsidRPr="00900A8A">
              <w:rPr>
                <w:bCs/>
                <w:sz w:val="24"/>
                <w:szCs w:val="24"/>
              </w:rPr>
              <w:t>Об утверждении отчета Генерального директора о выполнении плана проведения корпоративных мероприятий Общества за 1 полугодие 2020 года.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32553F" w:rsidRDefault="00900A8A" w:rsidP="004D612F">
            <w:pPr>
              <w:widowControl w:val="0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Принять к сведению отчёт Генерального директора ПАО «Саратовэнерго» о выполнении плана проведения корпоративных мероприятий за 1 полугодие 20</w:t>
            </w:r>
            <w:r w:rsidR="0032553F">
              <w:rPr>
                <w:sz w:val="24"/>
                <w:szCs w:val="24"/>
              </w:rPr>
              <w:t>20 года согласно Приложению №4.</w:t>
            </w:r>
          </w:p>
          <w:p w:rsidR="00900A8A" w:rsidRPr="00900A8A" w:rsidRDefault="00900A8A" w:rsidP="004D612F">
            <w:pPr>
              <w:pStyle w:val="2"/>
              <w:widowControl w:val="0"/>
              <w:ind w:left="113" w:right="113" w:firstLine="8"/>
              <w:rPr>
                <w:szCs w:val="24"/>
              </w:rPr>
            </w:pPr>
          </w:p>
          <w:p w:rsidR="00900A8A" w:rsidRPr="0032553F" w:rsidRDefault="00900A8A" w:rsidP="004D612F">
            <w:pPr>
              <w:widowControl w:val="0"/>
              <w:ind w:left="113" w:right="113" w:firstLine="8"/>
              <w:jc w:val="both"/>
              <w:rPr>
                <w:bCs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6.ВОПРОС: </w:t>
            </w:r>
            <w:r w:rsidRPr="00900A8A">
              <w:rPr>
                <w:bCs/>
                <w:sz w:val="24"/>
                <w:szCs w:val="24"/>
              </w:rPr>
              <w:t>О рассмотрении отчета об исполнении плана мероприятий по снижению дебиторской задолженности</w:t>
            </w:r>
            <w:r w:rsidR="0032553F">
              <w:rPr>
                <w:bCs/>
                <w:sz w:val="24"/>
                <w:szCs w:val="24"/>
              </w:rPr>
              <w:t xml:space="preserve"> за первое полугодие 2020 года.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900A8A" w:rsidRDefault="00900A8A" w:rsidP="004D612F">
            <w:pPr>
              <w:widowControl w:val="0"/>
              <w:ind w:left="113" w:right="113" w:firstLine="8"/>
              <w:jc w:val="both"/>
              <w:rPr>
                <w:bCs/>
                <w:sz w:val="24"/>
                <w:szCs w:val="24"/>
              </w:rPr>
            </w:pPr>
            <w:r w:rsidRPr="00900A8A">
              <w:rPr>
                <w:bCs/>
                <w:sz w:val="24"/>
                <w:szCs w:val="24"/>
              </w:rPr>
              <w:t>Принять к сведению отчет об исполнении плана мероприятий по снижению дебиторской задолженности за первое полугодие 2020 года согласно Приложению №5.</w:t>
            </w:r>
          </w:p>
          <w:p w:rsidR="00900A8A" w:rsidRPr="00900A8A" w:rsidRDefault="00900A8A" w:rsidP="004D612F">
            <w:pPr>
              <w:pStyle w:val="2"/>
              <w:widowControl w:val="0"/>
              <w:ind w:left="113" w:right="113" w:firstLine="8"/>
              <w:rPr>
                <w:szCs w:val="24"/>
              </w:rPr>
            </w:pPr>
          </w:p>
          <w:p w:rsidR="00900A8A" w:rsidRPr="0032553F" w:rsidRDefault="00900A8A" w:rsidP="004D612F">
            <w:pPr>
              <w:ind w:left="113" w:right="113" w:firstLine="8"/>
              <w:rPr>
                <w:b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7.ВОПРОС: </w:t>
            </w:r>
            <w:r w:rsidRPr="00900A8A">
              <w:rPr>
                <w:sz w:val="24"/>
                <w:szCs w:val="24"/>
              </w:rPr>
              <w:t>Об определении минимальных и максимальных параметров предоставления ПАО «Саратовэнерго» рассрочек платежей.</w:t>
            </w:r>
          </w:p>
          <w:p w:rsidR="006762CA" w:rsidRDefault="006762CA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900A8A" w:rsidRDefault="00900A8A" w:rsidP="004D612F">
            <w:pPr>
              <w:numPr>
                <w:ilvl w:val="1"/>
                <w:numId w:val="10"/>
              </w:numPr>
              <w:autoSpaceDE/>
              <w:autoSpaceDN/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Определить параметры предоставления ПАО «Саратовэнерго» рассрочки платежа </w:t>
            </w:r>
            <w:r w:rsidRPr="00900A8A">
              <w:rPr>
                <w:sz w:val="24"/>
                <w:szCs w:val="24"/>
              </w:rPr>
              <w:t xml:space="preserve">Государственным автономным учреждением «Агентство по повышению </w:t>
            </w:r>
            <w:proofErr w:type="spellStart"/>
            <w:r w:rsidRPr="00900A8A">
              <w:rPr>
                <w:sz w:val="24"/>
                <w:szCs w:val="24"/>
              </w:rPr>
              <w:t>энергоэффективности</w:t>
            </w:r>
            <w:proofErr w:type="spellEnd"/>
            <w:r w:rsidRPr="00900A8A">
              <w:rPr>
                <w:sz w:val="24"/>
                <w:szCs w:val="24"/>
              </w:rPr>
              <w:t xml:space="preserve"> использования имущественного комплекса Саратовской области» (далее - ГАУ «Агентство по ПЭИ ИК СО»)</w:t>
            </w:r>
            <w:r w:rsidRPr="00900A8A">
              <w:rPr>
                <w:color w:val="000000"/>
                <w:sz w:val="24"/>
                <w:szCs w:val="24"/>
              </w:rPr>
              <w:t xml:space="preserve"> в рамках договора поставки с рассрочкой платежа на 36 (тридцать шесть) месяцев: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Cs/>
                <w:color w:val="000000"/>
                <w:sz w:val="24"/>
                <w:szCs w:val="24"/>
              </w:rPr>
              <w:t>Размер платежа:</w:t>
            </w:r>
            <w:r w:rsidRPr="00900A8A">
              <w:rPr>
                <w:color w:val="000000"/>
                <w:sz w:val="24"/>
                <w:szCs w:val="24"/>
              </w:rPr>
              <w:t xml:space="preserve"> размер ежемесячного платежа устанавливается в соответствии с Графиком платежей (Приложение № 6 к проекту решения). Цена договора с учетом рассрочки на 36 (Тридцать шесть) месяцев составляет не менее 6 731 286,84 (Шесть миллионов семьсот тридцать одна тысяча двести восемьдесят шесть рублей 84 копейки), в том числе НДС 20% - 1 </w:t>
            </w:r>
            <w:proofErr w:type="gramStart"/>
            <w:r w:rsidRPr="00900A8A">
              <w:rPr>
                <w:color w:val="000000"/>
                <w:sz w:val="24"/>
                <w:szCs w:val="24"/>
              </w:rPr>
              <w:t>121  881</w:t>
            </w:r>
            <w:proofErr w:type="gramEnd"/>
            <w:r w:rsidRPr="00900A8A">
              <w:rPr>
                <w:color w:val="000000"/>
                <w:sz w:val="24"/>
                <w:szCs w:val="24"/>
              </w:rPr>
              <w:t xml:space="preserve">,14 рублей (Один миллион сто двадцать одна тысяча восемьсот восемьдесят один рубль 14 копеек).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Cs/>
                <w:color w:val="000000"/>
                <w:sz w:val="24"/>
                <w:szCs w:val="24"/>
              </w:rPr>
              <w:t>Порядок и срок оплаты:</w:t>
            </w:r>
            <w:r w:rsidRPr="00900A8A">
              <w:rPr>
                <w:color w:val="000000"/>
                <w:sz w:val="24"/>
                <w:szCs w:val="24"/>
              </w:rPr>
              <w:t> оплата поставленного Товара по Договору производится ГАУ «Агентство по ПЭИ ИК СО» в форме безналичного расчета путем перечисления денежных средств на расчетный счет ПАО «Саратовэнерго», указанный в Договоре. Оплата осуществляется в соответствии с Графиком платежей (Приложение № 6 к проекту решения), на основании подписанной Сторонами Товарной накладной унифицированной формы ТОРГ-</w:t>
            </w:r>
            <w:r w:rsidRPr="00900A8A">
              <w:rPr>
                <w:color w:val="000000"/>
                <w:sz w:val="24"/>
                <w:szCs w:val="24"/>
              </w:rPr>
              <w:lastRenderedPageBreak/>
              <w:t>12 и выставленного ПАО «Саратовэнерго» счета-фактуры. Днем осуществления платежа по Договору считается дата поступления денежных средств на расчетный счет Поставщика.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 действия договора – 36 (тридцать шесть) месяцев.</w:t>
            </w:r>
          </w:p>
          <w:p w:rsidR="00900A8A" w:rsidRPr="00900A8A" w:rsidRDefault="00900A8A" w:rsidP="004D612F">
            <w:pPr>
              <w:numPr>
                <w:ilvl w:val="1"/>
                <w:numId w:val="10"/>
              </w:numPr>
              <w:tabs>
                <w:tab w:val="left" w:pos="405"/>
              </w:tabs>
              <w:autoSpaceDE/>
              <w:autoSpaceDN/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 Поручить генеральному директору ПАО «Саратовэнерго» вынести на рассмотрение Совета директоров отчет о достижении параметров предоставления рассрочки платежа, определенных п.1 проекта решения.</w:t>
            </w:r>
          </w:p>
          <w:p w:rsidR="00900A8A" w:rsidRPr="00900A8A" w:rsidRDefault="00900A8A" w:rsidP="004D612F">
            <w:pPr>
              <w:tabs>
                <w:tab w:val="left" w:pos="1134"/>
              </w:tabs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Срок: в течение двух месяцев с даты завершения действия Договора.</w:t>
            </w:r>
          </w:p>
          <w:p w:rsidR="00900A8A" w:rsidRPr="00900A8A" w:rsidRDefault="00900A8A" w:rsidP="004D612F">
            <w:pPr>
              <w:tabs>
                <w:tab w:val="left" w:pos="1134"/>
              </w:tabs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Поручить генеральному директору ПАО «Саратовэнерго» заключить с ГАУ «Агентство по ПЭИ ИК СО» договор </w:t>
            </w:r>
            <w:r w:rsidRPr="00900A8A">
              <w:rPr>
                <w:sz w:val="24"/>
                <w:szCs w:val="24"/>
              </w:rPr>
              <w:t>обеспечения обязательств по оплате в случае просрочки платежа более 20 календарных дней</w:t>
            </w:r>
            <w:r w:rsidRPr="00900A8A">
              <w:rPr>
                <w:color w:val="000000"/>
                <w:sz w:val="24"/>
                <w:szCs w:val="24"/>
              </w:rPr>
              <w:t>.</w:t>
            </w:r>
          </w:p>
          <w:p w:rsidR="00900A8A" w:rsidRPr="0032553F" w:rsidRDefault="00900A8A" w:rsidP="004D612F">
            <w:pPr>
              <w:ind w:left="113" w:right="113" w:firstLine="8"/>
              <w:rPr>
                <w:b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Срок: в течение 40 календарных дней с момента просрочки платежа.</w:t>
            </w:r>
          </w:p>
          <w:p w:rsidR="0032553F" w:rsidRPr="00900A8A" w:rsidRDefault="0032553F" w:rsidP="004D612F">
            <w:pPr>
              <w:widowControl w:val="0"/>
              <w:ind w:left="113" w:right="113" w:firstLine="8"/>
              <w:jc w:val="both"/>
              <w:rPr>
                <w:b/>
                <w:bCs/>
                <w:sz w:val="24"/>
                <w:szCs w:val="24"/>
              </w:rPr>
            </w:pP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900A8A" w:rsidRDefault="00900A8A" w:rsidP="004D612F">
            <w:pPr>
              <w:numPr>
                <w:ilvl w:val="1"/>
                <w:numId w:val="11"/>
              </w:numPr>
              <w:tabs>
                <w:tab w:val="left" w:pos="547"/>
              </w:tabs>
              <w:autoSpaceDE/>
              <w:autoSpaceDN/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Определить параметры предоставления </w:t>
            </w:r>
            <w:r w:rsidRPr="00900A8A">
              <w:rPr>
                <w:sz w:val="24"/>
                <w:szCs w:val="24"/>
              </w:rPr>
              <w:t xml:space="preserve">ПАО «Саратовэнерго» </w:t>
            </w:r>
            <w:r w:rsidRPr="00900A8A">
              <w:rPr>
                <w:color w:val="000000"/>
                <w:sz w:val="24"/>
                <w:szCs w:val="24"/>
              </w:rPr>
              <w:t xml:space="preserve">рассрочки </w:t>
            </w:r>
            <w:r w:rsidRPr="00900A8A">
              <w:rPr>
                <w:bCs/>
                <w:sz w:val="24"/>
                <w:szCs w:val="24"/>
              </w:rPr>
              <w:t>Государственному учреждению здравоохранения Саратовской области «</w:t>
            </w:r>
            <w:proofErr w:type="spellStart"/>
            <w:r w:rsidRPr="00900A8A">
              <w:rPr>
                <w:bCs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bCs/>
                <w:sz w:val="24"/>
                <w:szCs w:val="24"/>
              </w:rPr>
              <w:t xml:space="preserve"> детская больница» (ГУЗ СО «</w:t>
            </w:r>
            <w:proofErr w:type="spellStart"/>
            <w:r w:rsidRPr="00900A8A">
              <w:rPr>
                <w:bCs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bCs/>
                <w:sz w:val="24"/>
                <w:szCs w:val="24"/>
              </w:rPr>
              <w:t xml:space="preserve"> детская больница»)</w:t>
            </w:r>
            <w:r w:rsidRPr="00900A8A">
              <w:rPr>
                <w:color w:val="000000"/>
                <w:sz w:val="24"/>
                <w:szCs w:val="24"/>
              </w:rPr>
              <w:t xml:space="preserve"> в рамках </w:t>
            </w:r>
            <w:proofErr w:type="spellStart"/>
            <w:r w:rsidRPr="00900A8A">
              <w:rPr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900A8A">
              <w:rPr>
                <w:color w:val="000000"/>
                <w:sz w:val="24"/>
                <w:szCs w:val="24"/>
              </w:rPr>
              <w:t xml:space="preserve"> контракта: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Cs/>
                <w:color w:val="000000"/>
                <w:sz w:val="24"/>
                <w:szCs w:val="24"/>
              </w:rPr>
              <w:t>Размер платежа:</w:t>
            </w:r>
            <w:r w:rsidRPr="00900A8A">
              <w:rPr>
                <w:color w:val="000000"/>
                <w:sz w:val="24"/>
                <w:szCs w:val="24"/>
              </w:rPr>
              <w:t xml:space="preserve"> размер платежа устанавливается как процент от достигнутого размера экономии соответствующих расходов </w:t>
            </w:r>
            <w:r w:rsidRPr="00900A8A">
              <w:rPr>
                <w:bCs/>
                <w:sz w:val="24"/>
                <w:szCs w:val="24"/>
              </w:rPr>
              <w:t>ГУЗ СО «</w:t>
            </w:r>
            <w:proofErr w:type="spellStart"/>
            <w:r w:rsidRPr="00900A8A">
              <w:rPr>
                <w:bCs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bCs/>
                <w:sz w:val="24"/>
                <w:szCs w:val="24"/>
              </w:rPr>
              <w:t xml:space="preserve"> детская больница»</w:t>
            </w:r>
            <w:r w:rsidRPr="00900A8A">
              <w:rPr>
                <w:color w:val="000000"/>
                <w:sz w:val="24"/>
                <w:szCs w:val="24"/>
              </w:rPr>
              <w:t xml:space="preserve"> на оплату энергетического ресурса, определенного в стоимостном выражении по ценам (тарифам) на соответствующий энергетический ресурс, за период достижения размера экономии.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Процент экономии, подлежащий уплате ГУЗ СО «</w:t>
            </w:r>
            <w:proofErr w:type="spellStart"/>
            <w:r w:rsidRPr="00900A8A">
              <w:rPr>
                <w:color w:val="000000"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color w:val="000000"/>
                <w:sz w:val="24"/>
                <w:szCs w:val="24"/>
              </w:rPr>
              <w:t xml:space="preserve"> детская больница» рассрочки платежа, составляет не менее 99% и на момент заключения контракта составляет не менее 5 500 000,00 (Пять миллионов пятьсот тысяч рублей 00 копеек), в том числе НДС 20% - 916 666,67 рублей (Девятьсот шестнадцать тысяч шестьсот шестьдесят шесть рублей 67 копеек), что соответствует экономии в натуральном выражении не менее 678 479,28 кВт*ч.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Cs/>
                <w:color w:val="000000"/>
                <w:sz w:val="24"/>
                <w:szCs w:val="24"/>
              </w:rPr>
              <w:t>Порядок и срок оплаты:</w:t>
            </w:r>
            <w:r w:rsidRPr="00900A8A">
              <w:rPr>
                <w:color w:val="000000"/>
                <w:sz w:val="24"/>
                <w:szCs w:val="24"/>
              </w:rPr>
              <w:t xml:space="preserve"> оплата контракта осуществляется исходя из размера экономии соответствующих расходов </w:t>
            </w:r>
            <w:r w:rsidRPr="00900A8A">
              <w:rPr>
                <w:bCs/>
                <w:sz w:val="24"/>
                <w:szCs w:val="24"/>
              </w:rPr>
              <w:t>ГУЗ СО «</w:t>
            </w:r>
            <w:proofErr w:type="spellStart"/>
            <w:r w:rsidRPr="00900A8A">
              <w:rPr>
                <w:bCs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bCs/>
                <w:sz w:val="24"/>
                <w:szCs w:val="24"/>
              </w:rPr>
              <w:t xml:space="preserve"> детская больница»</w:t>
            </w:r>
            <w:r w:rsidRPr="00900A8A">
              <w:rPr>
                <w:color w:val="000000"/>
                <w:sz w:val="24"/>
                <w:szCs w:val="24"/>
              </w:rPr>
              <w:t xml:space="preserve"> на поставки энергетических ресурсов в натуральном выражении, а также процента такой экономии, определенной в стоимостном выражении по тарифам на электрическую энергию: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СН II – 7,50 руб. с НДС.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  <w:lang w:val="x-none"/>
              </w:rPr>
            </w:pPr>
            <w:r w:rsidRPr="00900A8A">
              <w:rPr>
                <w:sz w:val="24"/>
                <w:szCs w:val="24"/>
                <w:lang w:val="x-none"/>
              </w:rPr>
              <w:t xml:space="preserve">В целях проведения расчетов по </w:t>
            </w:r>
            <w:r w:rsidRPr="00900A8A">
              <w:rPr>
                <w:sz w:val="24"/>
                <w:szCs w:val="24"/>
              </w:rPr>
              <w:t>к</w:t>
            </w:r>
            <w:proofErr w:type="spellStart"/>
            <w:r w:rsidRPr="00900A8A">
              <w:rPr>
                <w:sz w:val="24"/>
                <w:szCs w:val="24"/>
                <w:lang w:val="x-none"/>
              </w:rPr>
              <w:t>онтракту</w:t>
            </w:r>
            <w:proofErr w:type="spellEnd"/>
            <w:r w:rsidRPr="00900A8A">
              <w:rPr>
                <w:sz w:val="24"/>
                <w:szCs w:val="24"/>
                <w:lang w:val="x-none"/>
              </w:rPr>
              <w:t xml:space="preserve"> </w:t>
            </w:r>
            <w:r w:rsidRPr="00900A8A">
              <w:rPr>
                <w:sz w:val="24"/>
                <w:szCs w:val="24"/>
              </w:rPr>
              <w:t>ГУЗ СО «</w:t>
            </w:r>
            <w:proofErr w:type="spellStart"/>
            <w:r w:rsidRPr="00900A8A">
              <w:rPr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sz w:val="24"/>
                <w:szCs w:val="24"/>
              </w:rPr>
              <w:t xml:space="preserve"> детская больница»</w:t>
            </w:r>
            <w:r w:rsidRPr="00900A8A">
              <w:rPr>
                <w:sz w:val="24"/>
                <w:szCs w:val="24"/>
                <w:lang w:val="x-none"/>
              </w:rPr>
              <w:t xml:space="preserve"> Исполнитель </w:t>
            </w:r>
            <w:r w:rsidRPr="00900A8A">
              <w:rPr>
                <w:sz w:val="24"/>
                <w:szCs w:val="24"/>
              </w:rPr>
              <w:t xml:space="preserve">контракта </w:t>
            </w:r>
            <w:r w:rsidRPr="00900A8A">
              <w:rPr>
                <w:sz w:val="24"/>
                <w:szCs w:val="24"/>
                <w:lang w:val="x-none"/>
              </w:rPr>
              <w:t xml:space="preserve">в течение 3–х рабочих дней со дня поступления документов, обосновывающих стоимость потребленной электрической энергии и Акта о потреблении электрической энергии, выставляет Акт определения величины экономии энергетического ресурса </w:t>
            </w:r>
            <w:r w:rsidRPr="00900A8A">
              <w:rPr>
                <w:sz w:val="24"/>
                <w:szCs w:val="24"/>
              </w:rPr>
              <w:t>и</w:t>
            </w:r>
            <w:r w:rsidRPr="00900A8A">
              <w:rPr>
                <w:sz w:val="24"/>
                <w:szCs w:val="24"/>
                <w:lang w:val="x-none"/>
              </w:rPr>
              <w:t xml:space="preserve"> счёт на оплату по Контракту за расчётный период.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  <w:lang w:val="x-none"/>
              </w:rPr>
            </w:pPr>
            <w:r w:rsidRPr="00900A8A">
              <w:rPr>
                <w:sz w:val="24"/>
                <w:szCs w:val="24"/>
              </w:rPr>
              <w:t>ГУЗ СО «</w:t>
            </w:r>
            <w:proofErr w:type="spellStart"/>
            <w:r w:rsidRPr="00900A8A">
              <w:rPr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sz w:val="24"/>
                <w:szCs w:val="24"/>
              </w:rPr>
              <w:t xml:space="preserve"> детская больница»</w:t>
            </w:r>
            <w:r w:rsidRPr="00900A8A">
              <w:rPr>
                <w:sz w:val="24"/>
                <w:szCs w:val="24"/>
                <w:lang w:val="x-none"/>
              </w:rPr>
              <w:t xml:space="preserve"> в течение 3-х (трех) рабочих дней со дня поступления акта </w:t>
            </w:r>
            <w:r w:rsidRPr="00900A8A">
              <w:rPr>
                <w:sz w:val="24"/>
                <w:szCs w:val="24"/>
              </w:rPr>
              <w:t xml:space="preserve">оказания </w:t>
            </w:r>
            <w:proofErr w:type="spellStart"/>
            <w:r w:rsidRPr="00900A8A">
              <w:rPr>
                <w:sz w:val="24"/>
                <w:szCs w:val="24"/>
              </w:rPr>
              <w:t>энергосервисных</w:t>
            </w:r>
            <w:proofErr w:type="spellEnd"/>
            <w:r w:rsidRPr="00900A8A">
              <w:rPr>
                <w:sz w:val="24"/>
                <w:szCs w:val="24"/>
              </w:rPr>
              <w:t xml:space="preserve"> услуг </w:t>
            </w:r>
            <w:r w:rsidRPr="00900A8A">
              <w:rPr>
                <w:sz w:val="24"/>
                <w:szCs w:val="24"/>
                <w:lang w:val="x-none"/>
              </w:rPr>
              <w:t xml:space="preserve">от </w:t>
            </w:r>
            <w:r w:rsidRPr="00900A8A">
              <w:rPr>
                <w:sz w:val="24"/>
                <w:szCs w:val="24"/>
              </w:rPr>
              <w:t>ПАО «Саратовэнерго»</w:t>
            </w:r>
            <w:r w:rsidRPr="00900A8A">
              <w:rPr>
                <w:sz w:val="24"/>
                <w:szCs w:val="24"/>
                <w:lang w:val="x-none"/>
              </w:rPr>
              <w:t xml:space="preserve"> обязан</w:t>
            </w:r>
            <w:r w:rsidRPr="00900A8A">
              <w:rPr>
                <w:sz w:val="24"/>
                <w:szCs w:val="24"/>
              </w:rPr>
              <w:t>о</w:t>
            </w:r>
            <w:r w:rsidRPr="00900A8A">
              <w:rPr>
                <w:sz w:val="24"/>
                <w:szCs w:val="24"/>
                <w:lang w:val="x-none"/>
              </w:rPr>
              <w:t xml:space="preserve"> рассмотреть и подписать его.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  <w:lang w:val="x-none"/>
              </w:rPr>
            </w:pPr>
            <w:r w:rsidRPr="00900A8A">
              <w:rPr>
                <w:sz w:val="24"/>
                <w:szCs w:val="24"/>
              </w:rPr>
              <w:t>После подписания акта об определении экономии энергетических ресурсов ГУЗ СО «</w:t>
            </w:r>
            <w:proofErr w:type="spellStart"/>
            <w:r w:rsidRPr="00900A8A">
              <w:rPr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sz w:val="24"/>
                <w:szCs w:val="24"/>
              </w:rPr>
              <w:t xml:space="preserve"> детская больница» осуществляет расчеты с ПАО «Саратовэнерго» путем перечисления денежных средств на его расчетный счет (безналичная форма расчета).</w:t>
            </w:r>
            <w:r w:rsidRPr="00900A8A">
              <w:rPr>
                <w:sz w:val="24"/>
                <w:szCs w:val="24"/>
                <w:lang w:val="x-none"/>
              </w:rPr>
              <w:t xml:space="preserve">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Срок оплаты ГУЗ СО «</w:t>
            </w:r>
            <w:proofErr w:type="spellStart"/>
            <w:r w:rsidRPr="00900A8A">
              <w:rPr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sz w:val="24"/>
                <w:szCs w:val="24"/>
              </w:rPr>
              <w:t xml:space="preserve"> детская больница» долей размера экономии по контракту составляет 30 (тридцать) календарных дней со дня получения от ПАО «Саратовэнерго» акта об определении экономии энергетических ресурсов, за который осуществляются расчеты.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Окончательные расчеты осуществляются по факту достижения размера экономии в денежном выражении в сумме не менее 5 500 000,00 (Пять миллионов пятьсот тысяч рублей 00 копеек), в том числе НДС 20% - 916666,67 рублей (Девятьсот шестнадцать тысяч шестьсот шестьдесят шесть рублей 67 копеек). Конечный срок достижения размера экономии - 5 (Пять) лет с даты реализации мероприятий по энергосбережению и повышению энергетической эффективности.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bCs/>
                <w:color w:val="000000"/>
                <w:sz w:val="24"/>
                <w:szCs w:val="24"/>
              </w:rPr>
              <w:t xml:space="preserve">Размер обеспечения: </w:t>
            </w:r>
            <w:r w:rsidRPr="00900A8A">
              <w:rPr>
                <w:bCs/>
                <w:color w:val="000000"/>
                <w:sz w:val="24"/>
                <w:szCs w:val="24"/>
              </w:rPr>
              <w:tab/>
            </w:r>
            <w:r w:rsidRPr="00900A8A">
              <w:rPr>
                <w:color w:val="000000"/>
                <w:sz w:val="24"/>
                <w:szCs w:val="24"/>
              </w:rPr>
              <w:t xml:space="preserve">устанавливается в размере 5% от максимального процента минимального размера экономии в денежном выражении соответствующих расходов </w:t>
            </w:r>
            <w:r w:rsidRPr="00900A8A">
              <w:rPr>
                <w:bCs/>
                <w:sz w:val="24"/>
                <w:szCs w:val="24"/>
              </w:rPr>
              <w:t>ГУЗ СО «</w:t>
            </w:r>
            <w:proofErr w:type="spellStart"/>
            <w:r w:rsidRPr="00900A8A">
              <w:rPr>
                <w:bCs/>
                <w:sz w:val="24"/>
                <w:szCs w:val="24"/>
              </w:rPr>
              <w:t>Балашовская</w:t>
            </w:r>
            <w:proofErr w:type="spellEnd"/>
            <w:r w:rsidRPr="00900A8A">
              <w:rPr>
                <w:bCs/>
                <w:sz w:val="24"/>
                <w:szCs w:val="24"/>
              </w:rPr>
              <w:t xml:space="preserve"> детская больница»</w:t>
            </w:r>
            <w:r w:rsidRPr="00900A8A">
              <w:rPr>
                <w:color w:val="000000"/>
                <w:sz w:val="24"/>
                <w:szCs w:val="24"/>
              </w:rPr>
              <w:t xml:space="preserve"> на поставки энергетических ресурсов, который может быть </w:t>
            </w:r>
            <w:r w:rsidRPr="00900A8A">
              <w:rPr>
                <w:color w:val="000000"/>
                <w:sz w:val="24"/>
                <w:szCs w:val="24"/>
              </w:rPr>
              <w:lastRenderedPageBreak/>
              <w:t xml:space="preserve">уплачен исполнителем по </w:t>
            </w:r>
            <w:proofErr w:type="spellStart"/>
            <w:r w:rsidRPr="00900A8A">
              <w:rPr>
                <w:color w:val="000000"/>
                <w:sz w:val="24"/>
                <w:szCs w:val="24"/>
              </w:rPr>
              <w:t>энергосервисному</w:t>
            </w:r>
            <w:proofErr w:type="spellEnd"/>
            <w:r w:rsidRPr="00900A8A">
              <w:rPr>
                <w:color w:val="000000"/>
                <w:sz w:val="24"/>
                <w:szCs w:val="24"/>
              </w:rPr>
              <w:t xml:space="preserve"> контракту и составляет 92 000 (Девяносто две тысячи) рублей 00 копеек, в том числе НДС (20%) в размере 15 333,33 (пятнадцать тысяч триста тридцать три) рубля 33 копейки.</w:t>
            </w:r>
          </w:p>
          <w:p w:rsidR="00900A8A" w:rsidRPr="00900A8A" w:rsidRDefault="00900A8A" w:rsidP="004D612F">
            <w:pPr>
              <w:numPr>
                <w:ilvl w:val="1"/>
                <w:numId w:val="11"/>
              </w:numPr>
              <w:autoSpaceDE/>
              <w:autoSpaceDN/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 Поручить генеральному директору </w:t>
            </w:r>
            <w:r w:rsidRPr="00900A8A">
              <w:rPr>
                <w:sz w:val="24"/>
                <w:szCs w:val="24"/>
              </w:rPr>
              <w:t>ПАО «Саратовэнерго»</w:t>
            </w:r>
            <w:r w:rsidRPr="00900A8A">
              <w:rPr>
                <w:color w:val="000000"/>
                <w:sz w:val="24"/>
                <w:szCs w:val="24"/>
              </w:rPr>
              <w:t xml:space="preserve"> вынести на рассмотрение Совета директоров отчеты о достижении параметров предоставления рассрочки платежа, определенных п.1 настоящего решения.</w:t>
            </w:r>
          </w:p>
          <w:p w:rsidR="00900A8A" w:rsidRPr="0032553F" w:rsidRDefault="00900A8A" w:rsidP="004D612F">
            <w:pPr>
              <w:tabs>
                <w:tab w:val="left" w:pos="1134"/>
              </w:tabs>
              <w:ind w:left="113" w:right="113" w:firstLine="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Срок: в течение двух месяцев с даты завершения кажд</w:t>
            </w:r>
            <w:r w:rsidR="0032553F">
              <w:rPr>
                <w:color w:val="000000"/>
                <w:sz w:val="24"/>
                <w:szCs w:val="24"/>
              </w:rPr>
              <w:t xml:space="preserve">ого </w:t>
            </w:r>
            <w:proofErr w:type="spellStart"/>
            <w:r w:rsidR="0032553F">
              <w:rPr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="0032553F">
              <w:rPr>
                <w:color w:val="000000"/>
                <w:sz w:val="24"/>
                <w:szCs w:val="24"/>
              </w:rPr>
              <w:t xml:space="preserve"> контракта.</w:t>
            </w:r>
          </w:p>
          <w:p w:rsidR="00900A8A" w:rsidRPr="00900A8A" w:rsidRDefault="00900A8A" w:rsidP="004D612F">
            <w:pPr>
              <w:pStyle w:val="2"/>
              <w:widowControl w:val="0"/>
              <w:ind w:left="113" w:right="113" w:firstLine="8"/>
              <w:rPr>
                <w:szCs w:val="24"/>
              </w:rPr>
            </w:pPr>
          </w:p>
          <w:p w:rsidR="0032553F" w:rsidRPr="004D612F" w:rsidRDefault="00900A8A" w:rsidP="004D612F">
            <w:pPr>
              <w:widowControl w:val="0"/>
              <w:ind w:left="113" w:right="113" w:firstLine="8"/>
              <w:jc w:val="both"/>
              <w:rPr>
                <w:bCs/>
                <w:sz w:val="24"/>
                <w:szCs w:val="24"/>
              </w:rPr>
            </w:pPr>
            <w:r w:rsidRPr="00900A8A">
              <w:rPr>
                <w:b/>
                <w:sz w:val="24"/>
                <w:szCs w:val="24"/>
              </w:rPr>
              <w:t xml:space="preserve">8.ВОПРОС: </w:t>
            </w:r>
            <w:r w:rsidRPr="00900A8A">
              <w:rPr>
                <w:sz w:val="24"/>
                <w:szCs w:val="24"/>
              </w:rPr>
              <w:t>Об определении цены и о согласии на совершение сделки, в совершении которой имеется заинтересованность</w:t>
            </w:r>
            <w:r w:rsidR="004D612F">
              <w:rPr>
                <w:bCs/>
                <w:sz w:val="24"/>
                <w:szCs w:val="24"/>
              </w:rPr>
              <w:t>.</w:t>
            </w:r>
          </w:p>
          <w:p w:rsidR="0032553F" w:rsidRPr="00900A8A" w:rsidRDefault="0032553F" w:rsidP="004D612F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900A8A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900A8A" w:rsidRPr="00900A8A" w:rsidRDefault="00900A8A" w:rsidP="004D612F">
            <w:pPr>
              <w:tabs>
                <w:tab w:val="left" w:pos="121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ab/>
            </w:r>
            <w:r w:rsidRPr="00900A8A">
              <w:rPr>
                <w:color w:val="000000"/>
                <w:sz w:val="24"/>
                <w:szCs w:val="24"/>
              </w:rPr>
              <w:t xml:space="preserve">1.1. Определить, что цена по Договору займа между Обществом и ООО «МЭС-Развитие», как сделке, в совершении которой имеется заинтересованность, не может превышать </w:t>
            </w:r>
            <w:proofErr w:type="gramStart"/>
            <w:r w:rsidRPr="00900A8A">
              <w:rPr>
                <w:color w:val="000000"/>
                <w:sz w:val="24"/>
                <w:szCs w:val="24"/>
              </w:rPr>
              <w:t>более  296</w:t>
            </w:r>
            <w:proofErr w:type="gramEnd"/>
            <w:r w:rsidRPr="00900A8A">
              <w:rPr>
                <w:color w:val="000000"/>
                <w:sz w:val="24"/>
                <w:szCs w:val="24"/>
              </w:rPr>
              <w:t xml:space="preserve"> 875 000 (Двести девяносто шесть миллионов восемьсот семьдесят пять тысяч)  рублей 00 копеек, включая проценты за пользование заемными денежными средствами.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1.2. Дать согласие на совершение сделки, в совершении которой имеется заинтересованность, Договора займа между Обществом и ООО «МЭС-Развитие» на следующих существенных условиях: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Стороны договора: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ООО «МЭС-Развитие» - Заимодавец;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ПАО «Саратовэнерго» - Заемщик.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Предмет Договора: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Займодавец передает в собственность Заемщика денежные средства (далее – Заем) в рублях РФ, а Заемщик обязуется возвратить Займодавцу указанную сумму денежных средств, а также проценты, начисляемые в соответствии с условиями Договора.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Цель предоставления Займа – пополнение оборотных средств Заемщика.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Сумма Займа предоставляется Заемщику сроком не более чем на 3 (Три) года, начиная с даты первого предоставления Займа Займодавцем в соответствии с Договором.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Общий размер единовременной задолженности в соответствии с Договором не может превышать 250 000 000 (Двести пятьдесят миллионов) рублей 00 копеек.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Заем предоставляется Заемщику траншами в пределах Лимита на основании письменных заявлений Заемщика, утвержденных Займодавцем, с указанием суммы Займа, даты предоставления Займа, предполагаемой даты погашения, процентной ставки и реквизитов Договора.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 траншей в рамках Договора – не более 1 года с даты предоставления транша. Сумма займа и проценты могут быть возвращены досрочно с предварительным письменным уведомлением Займодавца не менее чем за 5 рабочих дней до планируемой даты возврата.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 xml:space="preserve">Цена по Договору: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Цена по Договору с учетом процентов за весь период действия Договора составляет не более 296 875 000 (Двести девяносто шесть миллионов восемьсот семьдесят пять тысяч) рублей 00 копеек.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- сумма Займа не более </w:t>
            </w:r>
            <w:r w:rsidRPr="00900A8A">
              <w:rPr>
                <w:color w:val="000000"/>
                <w:sz w:val="24"/>
                <w:szCs w:val="24"/>
              </w:rPr>
              <w:t>250 000 000 (Двести пятьдесят миллионов) рублей 00 копеек</w:t>
            </w:r>
            <w:r w:rsidRPr="00900A8A">
              <w:rPr>
                <w:sz w:val="24"/>
                <w:szCs w:val="24"/>
              </w:rPr>
              <w:t>;</w:t>
            </w:r>
          </w:p>
          <w:p w:rsidR="00900A8A" w:rsidRPr="00900A8A" w:rsidRDefault="00900A8A" w:rsidP="004D612F">
            <w:pPr>
              <w:tabs>
                <w:tab w:val="left" w:pos="709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>- сумма процентов за весь срок договора не более 46 875 000 (Сорок шесть миллионов восемьсот семьдесят пять тысяч) рублей.</w:t>
            </w:r>
          </w:p>
          <w:p w:rsidR="00900A8A" w:rsidRPr="00900A8A" w:rsidRDefault="00900A8A" w:rsidP="004D612F">
            <w:pPr>
              <w:widowControl w:val="0"/>
              <w:shd w:val="clear" w:color="auto" w:fill="FFFFFF"/>
              <w:adjustRightInd w:val="0"/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rFonts w:eastAsia="Cambria"/>
                <w:sz w:val="24"/>
                <w:szCs w:val="24"/>
              </w:rPr>
              <w:t>Порядок начисления и уплаты процентов:</w:t>
            </w:r>
            <w:r w:rsidRPr="00900A8A">
              <w:rPr>
                <w:sz w:val="24"/>
                <w:szCs w:val="24"/>
              </w:rPr>
              <w:t xml:space="preserve">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Проценты начисляются на сумму предоставленного Займа, начиная с даты, следующей за датой получения Займа (включительно), по дату полного погашения Займа (включительно).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Процентная ставка за пользование Займом не более Ключевой ставки Центрального Банка Российской Федерации плюс 2 (Два) процентов годовых от суммы Займа.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Проценты на сумму предоставленного Займа подлежат оплате ежемесячно не позднее последнего рабочего дня процентного периода.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lastRenderedPageBreak/>
              <w:t xml:space="preserve">Займодавец вправе в одностороннем порядке изменить процентную ставку за пользованием Займом, при этом максимальный размер процентной ставки не может превышать Ключевой ставки Центрального Банка Российской Федерации плюс 2 (Два) процентов годовых. Об изменении процентной ставки по Займу Займодавец уведомляет Заёмщика в письменной форме не менее чем за 5 рабочих дней до ее введения.  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Срок Договора: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Договор вступает в силу с даты подписания его сторонами и действует до полного выполнения сторонами своих обязательств по Договору.</w:t>
            </w:r>
          </w:p>
          <w:p w:rsidR="00900A8A" w:rsidRPr="00900A8A" w:rsidRDefault="00900A8A" w:rsidP="004D612F">
            <w:pPr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Иные существенные условия Договора:</w:t>
            </w:r>
          </w:p>
          <w:p w:rsidR="00900A8A" w:rsidRPr="00900A8A" w:rsidRDefault="00900A8A" w:rsidP="004D612F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В случае невозвращения и/или несвоевременного возвращения суммы Займа и/или части Займа и/или процентов на него, а также несвоевременной оплаты иных обязательных платежей в определенный Договором срок, Заемщик обязуется, независимо от уплаты процентов, предусмотренных настоящим Договором за пользование Займом, по требованию Заимодавца уплатить пени в размере 0,1% от суммы задолженности за каждый день просрочки платежа.</w:t>
            </w:r>
          </w:p>
          <w:p w:rsidR="00900A8A" w:rsidRPr="00900A8A" w:rsidRDefault="00900A8A" w:rsidP="004D612F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900A8A">
              <w:rPr>
                <w:color w:val="000000"/>
                <w:sz w:val="24"/>
                <w:szCs w:val="24"/>
              </w:rPr>
              <w:t>Сумма пени подлежит уплате Заемщиком в течение 3 банковских дней с даты получения счёта от Заимодавца.</w:t>
            </w:r>
          </w:p>
          <w:p w:rsidR="00900A8A" w:rsidRPr="0032553F" w:rsidRDefault="00900A8A" w:rsidP="004D612F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900A8A">
              <w:rPr>
                <w:rFonts w:eastAsia="Calibri"/>
                <w:bCs/>
                <w:sz w:val="24"/>
                <w:szCs w:val="24"/>
                <w:lang w:bidi="ru-RU"/>
              </w:rPr>
              <w:t>Лицом, имеющим заинтересованность в совершении сделки, признается контролирующее лицо - ПАО «</w:t>
            </w:r>
            <w:proofErr w:type="spellStart"/>
            <w:r w:rsidRPr="00900A8A">
              <w:rPr>
                <w:rFonts w:eastAsia="Calibri"/>
                <w:bCs/>
                <w:sz w:val="24"/>
                <w:szCs w:val="24"/>
                <w:lang w:bidi="ru-RU"/>
              </w:rPr>
              <w:t>Интер</w:t>
            </w:r>
            <w:proofErr w:type="spellEnd"/>
            <w:r w:rsidRPr="00900A8A">
              <w:rPr>
                <w:rFonts w:eastAsia="Calibri"/>
                <w:bCs/>
                <w:sz w:val="24"/>
                <w:szCs w:val="24"/>
                <w:lang w:bidi="ru-RU"/>
              </w:rPr>
              <w:t xml:space="preserve"> РАО», так как имеет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 и является</w:t>
            </w:r>
            <w:r w:rsidRPr="00900A8A">
              <w:rPr>
                <w:rFonts w:eastAsia="Calibri"/>
                <w:bCs/>
                <w:sz w:val="24"/>
                <w:szCs w:val="24"/>
              </w:rPr>
              <w:t xml:space="preserve"> контролирующим лицом юридического лица, являющегося стороной в сделке</w:t>
            </w:r>
            <w:r w:rsidR="0032553F">
              <w:rPr>
                <w:rFonts w:eastAsia="Calibri"/>
                <w:bCs/>
                <w:sz w:val="24"/>
                <w:szCs w:val="24"/>
                <w:lang w:bidi="ru-RU"/>
              </w:rPr>
              <w:t>.</w:t>
            </w:r>
          </w:p>
          <w:p w:rsidR="00E80CA9" w:rsidRPr="00900A8A" w:rsidRDefault="00E80CA9" w:rsidP="004D612F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900A8A" w:rsidRDefault="001C7422" w:rsidP="004D612F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32553F">
              <w:rPr>
                <w:b/>
                <w:i/>
                <w:sz w:val="24"/>
                <w:szCs w:val="24"/>
              </w:rPr>
              <w:t>27</w:t>
            </w:r>
            <w:r w:rsidR="00245483" w:rsidRPr="00900A8A">
              <w:rPr>
                <w:b/>
                <w:i/>
                <w:sz w:val="24"/>
                <w:szCs w:val="24"/>
              </w:rPr>
              <w:t xml:space="preserve"> августа</w:t>
            </w:r>
            <w:r w:rsidRPr="00900A8A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900A8A" w:rsidRDefault="001C7422" w:rsidP="004D612F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900A8A" w:rsidRDefault="0035329A" w:rsidP="004D612F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2.5. </w:t>
            </w:r>
            <w:r w:rsidR="001C7422" w:rsidRPr="00900A8A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900A8A">
              <w:rPr>
                <w:sz w:val="24"/>
                <w:szCs w:val="24"/>
              </w:rPr>
              <w:t xml:space="preserve"> </w:t>
            </w:r>
            <w:r w:rsidR="001C7422" w:rsidRPr="00900A8A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32553F">
              <w:rPr>
                <w:b/>
                <w:i/>
                <w:sz w:val="24"/>
                <w:szCs w:val="24"/>
              </w:rPr>
              <w:t xml:space="preserve"> директоров эмитента от 28</w:t>
            </w:r>
            <w:r w:rsidR="00245483" w:rsidRPr="00900A8A">
              <w:rPr>
                <w:b/>
                <w:i/>
                <w:sz w:val="24"/>
                <w:szCs w:val="24"/>
              </w:rPr>
              <w:t xml:space="preserve"> августа</w:t>
            </w:r>
            <w:r w:rsidR="0088648B" w:rsidRPr="00900A8A">
              <w:rPr>
                <w:b/>
                <w:i/>
                <w:sz w:val="24"/>
                <w:szCs w:val="24"/>
              </w:rPr>
              <w:t xml:space="preserve"> 2020</w:t>
            </w:r>
            <w:proofErr w:type="gramStart"/>
            <w:r w:rsidR="0088648B" w:rsidRPr="00900A8A">
              <w:rPr>
                <w:b/>
                <w:i/>
                <w:sz w:val="24"/>
                <w:szCs w:val="24"/>
              </w:rPr>
              <w:t>г</w:t>
            </w:r>
            <w:r w:rsidR="004D612F">
              <w:rPr>
                <w:b/>
                <w:i/>
                <w:sz w:val="24"/>
                <w:szCs w:val="24"/>
              </w:rPr>
              <w:t>..</w:t>
            </w:r>
            <w:proofErr w:type="gramEnd"/>
            <w:r w:rsidR="0032553F">
              <w:rPr>
                <w:b/>
                <w:i/>
                <w:sz w:val="24"/>
                <w:szCs w:val="24"/>
              </w:rPr>
              <w:t xml:space="preserve"> №267.</w:t>
            </w:r>
            <w:r w:rsidR="001C7422" w:rsidRPr="00900A8A">
              <w:rPr>
                <w:b/>
                <w:i/>
                <w:sz w:val="24"/>
                <w:szCs w:val="24"/>
              </w:rPr>
              <w:t>.</w:t>
            </w:r>
          </w:p>
          <w:p w:rsidR="00FA6824" w:rsidRPr="00900A8A" w:rsidRDefault="00FA6824" w:rsidP="004D612F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FA6824" w:rsidRPr="00900A8A" w:rsidRDefault="00FA6824" w:rsidP="004D612F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900A8A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900A8A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900A8A" w:rsidRDefault="001C7422" w:rsidP="004D612F">
            <w:pPr>
              <w:adjustRightInd w:val="0"/>
              <w:ind w:left="113" w:right="113" w:firstLine="8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8A15E5" w:rsidP="008A15E5">
            <w:pPr>
              <w:autoSpaceDE/>
              <w:autoSpaceDN/>
              <w:ind w:right="11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900A8A">
              <w:rPr>
                <w:b/>
                <w:i/>
                <w:sz w:val="24"/>
                <w:szCs w:val="24"/>
              </w:rPr>
              <w:t>Дата: 28</w:t>
            </w:r>
            <w:r w:rsidR="00245483">
              <w:rPr>
                <w:b/>
                <w:i/>
                <w:sz w:val="24"/>
                <w:szCs w:val="24"/>
              </w:rPr>
              <w:t xml:space="preserve"> августа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01963DD"/>
    <w:multiLevelType w:val="multilevel"/>
    <w:tmpl w:val="B798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9" w15:restartNumberingAfterBreak="0">
    <w:nsid w:val="3CAC6063"/>
    <w:multiLevelType w:val="multilevel"/>
    <w:tmpl w:val="0950B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1152"/>
    <w:rsid w:val="00053AF9"/>
    <w:rsid w:val="00095AF7"/>
    <w:rsid w:val="00096E06"/>
    <w:rsid w:val="001879FE"/>
    <w:rsid w:val="001C7422"/>
    <w:rsid w:val="00245483"/>
    <w:rsid w:val="002B2A7F"/>
    <w:rsid w:val="002D2FE4"/>
    <w:rsid w:val="0032553F"/>
    <w:rsid w:val="0035329A"/>
    <w:rsid w:val="0037305D"/>
    <w:rsid w:val="003C0966"/>
    <w:rsid w:val="004D612F"/>
    <w:rsid w:val="004E1DEE"/>
    <w:rsid w:val="004E3887"/>
    <w:rsid w:val="004F77C3"/>
    <w:rsid w:val="005132D3"/>
    <w:rsid w:val="00646A23"/>
    <w:rsid w:val="006762CA"/>
    <w:rsid w:val="006E205F"/>
    <w:rsid w:val="006F5FC9"/>
    <w:rsid w:val="00730FAF"/>
    <w:rsid w:val="007F0A72"/>
    <w:rsid w:val="0088648B"/>
    <w:rsid w:val="008A15E5"/>
    <w:rsid w:val="008D0B62"/>
    <w:rsid w:val="00900A8A"/>
    <w:rsid w:val="00956B6A"/>
    <w:rsid w:val="009C3D07"/>
    <w:rsid w:val="00A665BD"/>
    <w:rsid w:val="00A75DE1"/>
    <w:rsid w:val="00A81FC7"/>
    <w:rsid w:val="00AE1D8E"/>
    <w:rsid w:val="00B610BA"/>
    <w:rsid w:val="00B75CE3"/>
    <w:rsid w:val="00B921F9"/>
    <w:rsid w:val="00BF3516"/>
    <w:rsid w:val="00BF5D2A"/>
    <w:rsid w:val="00C72ED7"/>
    <w:rsid w:val="00CE5B83"/>
    <w:rsid w:val="00D2765F"/>
    <w:rsid w:val="00D41FEC"/>
    <w:rsid w:val="00DC10D5"/>
    <w:rsid w:val="00E265C4"/>
    <w:rsid w:val="00E80CA9"/>
    <w:rsid w:val="00EA2408"/>
    <w:rsid w:val="00FA6824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ACD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6029-5685-42CB-B1C1-6C577ABB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4</cp:revision>
  <dcterms:created xsi:type="dcterms:W3CDTF">2020-08-28T05:58:00Z</dcterms:created>
  <dcterms:modified xsi:type="dcterms:W3CDTF">2020-08-28T06:08:00Z</dcterms:modified>
</cp:coreProperties>
</file>