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Liberation Serif" w:hAnsi="Liberation Serif" w:cs="Liberation Serif"/>
          <w:b/>
        </w:rPr>
        <w:t xml:space="preserve">Перечень документов для заключения договора купли-продажи (поставки) электрической энергии (мощности) </w:t>
      </w:r>
      <w:r>
        <w:rPr>
          <w:rFonts w:ascii="Liberation Serif" w:hAnsi="Liberation Serif" w:cs="Liberation Serif"/>
          <w:b/>
          <w:bCs/>
        </w:rPr>
        <w:t xml:space="preserve">юридическими лицами и индивидуальными предпринимателями</w:t>
      </w:r>
      <w:r/>
    </w:p>
    <w:tbl>
      <w:tblPr>
        <w:tblStyle w:val="722"/>
        <w:tblW w:w="10025" w:type="dxa"/>
        <w:tblLayout w:type="fixed"/>
        <w:tblLook w:val="04A0" w:firstRow="1" w:lastRow="0" w:firstColumn="1" w:lastColumn="0" w:noHBand="0" w:noVBand="1"/>
      </w:tblPr>
      <w:tblGrid>
        <w:gridCol w:w="560"/>
        <w:gridCol w:w="3259"/>
        <w:gridCol w:w="3826"/>
        <w:gridCol w:w="2379"/>
      </w:tblGrid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Наименование документа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vertAlign w:val="superscript"/>
                <w:lang w:eastAsia="en-US"/>
              </w:rPr>
              <w:t xml:space="preserve">1</w:t>
            </w:r>
            <w:r>
              <w:rPr>
                <w:rFonts w:eastAsiaTheme="minorHAnsi"/>
                <w:b/>
                <w:color w:val="000000"/>
                <w:vertAlign w:val="superscript"/>
                <w:lang w:eastAsia="en-US"/>
              </w:rPr>
              <w:t xml:space="preserve">, 6, 7, 8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Обязательность предоставления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Заявление о заключении соответствующего договора, содержащее обязательные реквизиты потребителя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ЮЛ: полное наименование, основной государственный регистрационный номер и идентификационный номер налогоплательщика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 физического лица, серия, номер и дата выдачи паспорт</w:t>
            </w:r>
            <w:r>
              <w:rPr>
                <w:rFonts w:ascii="Liberation Serif" w:hAnsi="Liberation Serif" w:cs="Liberation Serif"/>
              </w:rPr>
              <w:t xml:space="preserve">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ФЛ: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наличии), серия, номер и дата выдачи паспорта или иного документа, удостоверяющего личность гра</w:t>
            </w:r>
            <w:r>
              <w:rPr>
                <w:rFonts w:ascii="Liberation Serif" w:hAnsi="Liberation Serif" w:cs="Liberation Serif"/>
              </w:rPr>
              <w:t xml:space="preserve">жданина на территории Российской Федерации, адрес регистрации по месту жительства, один из идентификаторов - идентификационный номер налогоплательщика или страховой номер индивидуального лицевого счета в системе индивидуального (персонифицированного) учета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Подписанный Заявителе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м проект договора 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по желанию Заявителя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Почтовый адрес, контактные телефоны, факс, банковские реквизиты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мобильного телефона, адрес электронной почты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полномочия лица на подписание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(решение, приказ) или выписка из протокола (решения, приказа) о назначении руководителя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Доверенность на подписание договора, если договор подписывает не руководитель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6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право собственности, аренды или иные права владения и (или) пользования, пре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дусмотренные законодательством Российской Федерации, на энергопринимающие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9</w:t>
            </w:r>
            <w:r>
              <w:rPr>
                <w:rFonts w:ascii="Liberation Serif" w:hAnsi="Liberation Serif" w:cs="Liberation Serif"/>
                <w:vertAlign w:val="superscript"/>
              </w:rPr>
            </w:r>
            <w:r>
              <w:rPr>
                <w:rFonts w:ascii="Liberation Serif" w:hAnsi="Liberation Serif" w:cs="Liberation Serif"/>
                <w:vertAlign w:val="superscript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Договор аренды недвижимого имущества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Иное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Акт о технологическом присоединении и (или) акт разграничения балансовой принадлежности электросетей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2, 3, 9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Иной документ, подтверждающий технологическое присоединение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8</w:t>
            </w:r>
            <w:r>
              <w:rPr>
                <w:rFonts w:ascii="Liberation Serif" w:hAnsi="Liberation Serif" w:cs="Liberation Serif"/>
                <w:vertAlign w:val="superscript"/>
              </w:rPr>
            </w:r>
            <w:r>
              <w:rPr>
                <w:rFonts w:ascii="Liberation Serif" w:hAnsi="Liberation Serif" w:cs="Liberation Serif"/>
                <w:vertAlign w:val="superscript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заключённого договора об осуществлении технологического при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истёк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 к предоставлению в случае заключения договора энергоснабжения до завершения процедуры технологического присоединения энергопринимающих устройств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 о допуске в эксплуатацию приборов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4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прибора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10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Документ, подтверждающий наличие технологической и (или) аварийной брони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5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его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</w:tbl>
    <w:p>
      <w:r/>
      <w:r/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clear" w:pos="0" w:leader="none"/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случае если прошло не более 3 лет со дня расторжения договора энергоснабжения (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купли-продажи (поставки) электрической энергии (мощности)), ранее заключённого им с ПАО «Саратовэнерго», с которым он имеет намерение заключить договор вновь,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заключении соответствующего договора с приложением документов, указанных 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пунктах 3-6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Таблицы. Иные документы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, в соответствии с настоящим перечнем, Заявитель предоставляет только в том случае, если они не были ранее предоставле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ны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или в них были внесены изменения после их предоставления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при заключении предыдущего договора. В этом случае при заключении договора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использует документы, имеющиеся у него в отношении соответствующей точки поставки потребителя.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случае если СО или иной владелец объектов электросетевого хозяйства, к которым присоединены энергопринимающие устройства, в отношении котор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ых подано заявление о заключении договора, отказывается или уклоняется от составления и предоставления Заявителю документов, подтверждающих технологическое присоединение и (или) разграничение балансовой принадлежности,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чении договора с приложением к нему документов, имеющихся у Заявителя на дату направления заявления, а также документов, подтверждающих факт обращения Заявителя к СО или иному владельцу объектов электросетевого хозяйства в целях получения таких документов.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Акт о технологическом присоединении и (или) Акт разграничения балансовой принадлежности электросетей не предоставляются в случаях отсутствия таких документов у Заявителя и наличия документов, подтверждающих факт обращения Заявителя к СО или иному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владельцу объектов электросетевого хозяйства в целях получения таких документов, либо в случае направления документов, для заключения соответствующего договора до завершения процедуры технологического присоединения энергопринимающих устройств потребителя.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 о допуске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 эксплуатацию прибора учёта электрической энергии является акт допуска прибора учёта в эксплуатацию, составленный в соответствии с требованиями раздела X Основных положений, а если допуск в эксплуатацию прибора учёта был осуществлён до вступления в силу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Основных положений, то документ, который подтверждал факт допуска в  эксплуатацию прибора учёта, установленного в отношении соответствующей точки поставки, и был подписан гарантирующим поставщиком (энергосбытовой, энергоснабжающей организацией) и (или) СО.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Документом, подтверждающим наличие технологической и (или) аварийной брони, является акт согласования технологической и (или) аварийной брони, составленный (изменённый) и согласованный в порядке, установленном Правилами недискриминационног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 доступа, потребителем и СО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ind w:left="0" w:firstLine="851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если акт согласования технологической и (или) аварийной брони составлен (изменён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) и согласован позднее даты заключения договора энергоснабжения (купли-продажи (поставки) электрической энергии (мощности)), то такой акт подлежит предоставлению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 соответствии с требованиями абз. 4 пункта 40 и абз. 8 пункта 43 Основных положений.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прилагаемые к заявлению о заключении договора, кроме проекта до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при подаче заявле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ния и документов в месте нахождения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вителя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обязано произвести сверку идентичности копий и оригиналов представленных документов, после чего на копиях таких документов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делаются отметки о соответствии подлинности копий документов оригиналам и оригиналы возвращаются Заявителю.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заключения договора купли-продажи (поставки) электрической энергии (мощности) при смене собственника энергопринимающего устройства, Заявитель предоставляет документы, указанные в </w:t>
      </w:r>
      <w:r>
        <w:rPr>
          <w:rFonts w:eastAsiaTheme="minorHAnsi"/>
          <w:color w:val="000000"/>
          <w:lang w:eastAsia="en-US"/>
        </w:rPr>
        <w:t xml:space="preserve">пунктах 3-6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Таблицы. Иные документы, в соответствии с настоящим перечнем, предоставляются по желанию Заявителя. Также Заявитель вправе предоставить показания приборов учета на дату перехода к нему права собственности на энергопринимающее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устройство, подписанные предыдущим собственником.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направления заявления о заключении договора купли-продажи (поставки) электрической энергии (мощности) в отношении энергопринимающих устройств операторов связи, не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ельно, расположенных на объектах общего имущества в многоквартирном доме при отсутствии документов, предусмотренных пунктом 6 и 7 Таблицы, представляется копия акта выполненных работ по монтажу или копия описи существующей сети свя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зи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Федерации», подготовленные в соответствии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с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постановлением Правительства Российск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ой Федерации от 6 августа 2024 г. N 1055 «Об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доме».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предус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мотренные пунктом 8 Таблицы, представляются оператором связи в отношении энергопринимающих устройств, максимальная мощность которых составляет не более 5 кВт включительно, расположенных на объектах общего имущества в многоквартирном доме, при их наличии.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70"/>
        <w:ind w:left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425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right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2025-01-20T10:10:03Z</dcterms:modified>
</cp:coreProperties>
</file>