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>Сообщение о существенном факте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>«Об отдельных решениях, принятых советом директоров эмитента».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 xml:space="preserve">Сообщение об инсайдерской информации 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>«Информация о принятых советом директоров эмитента решениях».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tbl>
      <w:tblPr>
        <w:tblW w:w="99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8"/>
        <w:gridCol w:w="5075"/>
      </w:tblGrid>
      <w:tr w:rsidR="001C7422" w:rsidRPr="007836C0" w:rsidTr="00CE5B83">
        <w:tc>
          <w:tcPr>
            <w:tcW w:w="9923" w:type="dxa"/>
            <w:gridSpan w:val="2"/>
          </w:tcPr>
          <w:p w:rsidR="001C7422" w:rsidRPr="007836C0" w:rsidRDefault="001C7422" w:rsidP="00893B5C">
            <w:pPr>
              <w:ind w:left="113" w:right="113"/>
              <w:rPr>
                <w:sz w:val="24"/>
                <w:szCs w:val="24"/>
              </w:rPr>
            </w:pPr>
          </w:p>
          <w:p w:rsidR="001C7422" w:rsidRPr="007836C0" w:rsidRDefault="001C7422" w:rsidP="001C7422">
            <w:pPr>
              <w:numPr>
                <w:ilvl w:val="0"/>
                <w:numId w:val="1"/>
              </w:numPr>
              <w:autoSpaceDE/>
              <w:autoSpaceDN/>
              <w:ind w:left="113" w:right="113"/>
              <w:jc w:val="center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Общие сведения</w:t>
            </w:r>
          </w:p>
          <w:p w:rsidR="001C7422" w:rsidRPr="007836C0" w:rsidRDefault="001C7422" w:rsidP="00893B5C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1C7422" w:rsidRPr="007836C0" w:rsidTr="00CE5B83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Публичное акционерное общество «Саратовэнерго»</w:t>
            </w:r>
          </w:p>
        </w:tc>
      </w:tr>
      <w:tr w:rsidR="001C7422" w:rsidRPr="007836C0" w:rsidTr="00CE5B83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ПАО «Саратовэнерго»</w:t>
            </w:r>
          </w:p>
        </w:tc>
      </w:tr>
      <w:tr w:rsidR="001C7422" w:rsidRPr="007836C0" w:rsidTr="00CE5B83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Российская Федерация, г. Саратов</w:t>
            </w:r>
          </w:p>
        </w:tc>
      </w:tr>
      <w:tr w:rsidR="001C7422" w:rsidRPr="007836C0" w:rsidTr="00CE5B83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1026402199636</w:t>
            </w:r>
          </w:p>
        </w:tc>
      </w:tr>
      <w:tr w:rsidR="001C7422" w:rsidRPr="007836C0" w:rsidTr="00CE5B83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6450014808</w:t>
            </w:r>
          </w:p>
        </w:tc>
      </w:tr>
      <w:tr w:rsidR="001C7422" w:rsidRPr="007836C0" w:rsidTr="00CE5B83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00132-А</w:t>
            </w:r>
          </w:p>
        </w:tc>
      </w:tr>
      <w:tr w:rsidR="001C7422" w:rsidRPr="007836C0" w:rsidTr="00CE5B83">
        <w:trPr>
          <w:trHeight w:val="1050"/>
        </w:trPr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075" w:type="dxa"/>
          </w:tcPr>
          <w:p w:rsidR="001C7422" w:rsidRPr="007836C0" w:rsidRDefault="00030B17" w:rsidP="00893B5C">
            <w:pPr>
              <w:autoSpaceDE/>
              <w:autoSpaceDN/>
              <w:ind w:left="113" w:right="113"/>
              <w:rPr>
                <w:b/>
                <w:i/>
                <w:sz w:val="24"/>
                <w:szCs w:val="24"/>
              </w:rPr>
            </w:pPr>
            <w:hyperlink r:id="rId8" w:history="1">
              <w:r w:rsidR="001C7422" w:rsidRPr="007836C0">
                <w:rPr>
                  <w:b/>
                  <w:i/>
                  <w:sz w:val="24"/>
                  <w:szCs w:val="24"/>
                </w:rPr>
                <w:t>http://www.e-disclosure.ru/portal/company.aspx?id=3346</w:t>
              </w:r>
            </w:hyperlink>
            <w:r w:rsidR="001C7422" w:rsidRPr="007836C0">
              <w:rPr>
                <w:b/>
                <w:i/>
                <w:sz w:val="24"/>
                <w:szCs w:val="24"/>
              </w:rPr>
              <w:t>/</w:t>
            </w:r>
          </w:p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  <w:lang w:val="en-US"/>
              </w:rPr>
              <w:t>http</w:t>
            </w:r>
            <w:r w:rsidRPr="007836C0">
              <w:rPr>
                <w:b/>
                <w:i/>
                <w:sz w:val="24"/>
                <w:szCs w:val="24"/>
              </w:rPr>
              <w:t xml:space="preserve">:// </w:t>
            </w:r>
            <w:hyperlink r:id="rId9" w:history="1">
              <w:r w:rsidRPr="007836C0">
                <w:rPr>
                  <w:b/>
                  <w:i/>
                  <w:sz w:val="24"/>
                  <w:szCs w:val="24"/>
                </w:rPr>
                <w:t>www.saratovenergo.ru/</w:t>
              </w:r>
            </w:hyperlink>
          </w:p>
        </w:tc>
      </w:tr>
      <w:tr w:rsidR="001C7422" w:rsidRPr="007836C0" w:rsidTr="00CE5B83">
        <w:tc>
          <w:tcPr>
            <w:tcW w:w="4848" w:type="dxa"/>
          </w:tcPr>
          <w:p w:rsidR="001C7422" w:rsidRPr="007836C0" w:rsidRDefault="001C7422" w:rsidP="00893B5C">
            <w:pPr>
              <w:autoSpaceDE/>
              <w:autoSpaceDN/>
              <w:adjustRightInd w:val="0"/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autoSpaceDE/>
              <w:autoSpaceDN/>
              <w:ind w:left="-28" w:right="113" w:firstLine="141"/>
              <w:jc w:val="both"/>
              <w:rPr>
                <w:sz w:val="24"/>
                <w:szCs w:val="24"/>
                <w:highlight w:val="yellow"/>
              </w:rPr>
            </w:pPr>
          </w:p>
          <w:p w:rsidR="001C7422" w:rsidRPr="007836C0" w:rsidRDefault="00842F44" w:rsidP="00EF2FE8">
            <w:pPr>
              <w:autoSpaceDE/>
              <w:autoSpaceDN/>
              <w:ind w:left="833" w:right="113" w:hanging="745"/>
              <w:contextualSpacing/>
              <w:rPr>
                <w:b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 xml:space="preserve">17 </w:t>
            </w:r>
            <w:proofErr w:type="spellStart"/>
            <w:r>
              <w:rPr>
                <w:b/>
                <w:i/>
                <w:sz w:val="24"/>
                <w:szCs w:val="24"/>
                <w:lang w:val="en-US"/>
              </w:rPr>
              <w:t>ноября</w:t>
            </w:r>
            <w:proofErr w:type="spellEnd"/>
            <w:r w:rsidR="00C72ED7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="001C7422" w:rsidRPr="007836C0">
              <w:rPr>
                <w:b/>
                <w:i/>
                <w:sz w:val="24"/>
                <w:szCs w:val="24"/>
              </w:rPr>
              <w:t>2020г.</w:t>
            </w:r>
          </w:p>
        </w:tc>
      </w:tr>
      <w:tr w:rsidR="001C7422" w:rsidRPr="007836C0" w:rsidTr="00CE5B83">
        <w:tc>
          <w:tcPr>
            <w:tcW w:w="9923" w:type="dxa"/>
            <w:gridSpan w:val="2"/>
          </w:tcPr>
          <w:p w:rsidR="001C7422" w:rsidRPr="007836C0" w:rsidRDefault="001C7422" w:rsidP="00893B5C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1C7422" w:rsidRPr="007836C0" w:rsidRDefault="001C7422" w:rsidP="00893B5C">
            <w:pPr>
              <w:ind w:left="113" w:right="113"/>
              <w:jc w:val="center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2.Содержание сообщения</w:t>
            </w:r>
          </w:p>
          <w:p w:rsidR="001C7422" w:rsidRPr="007836C0" w:rsidRDefault="001C7422" w:rsidP="00893B5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1C7422" w:rsidRPr="007836C0" w:rsidTr="00CE5B83">
        <w:tc>
          <w:tcPr>
            <w:tcW w:w="9923" w:type="dxa"/>
            <w:gridSpan w:val="2"/>
          </w:tcPr>
          <w:p w:rsidR="008D0B62" w:rsidRPr="00E46D2C" w:rsidRDefault="008D0B62" w:rsidP="00F97C62">
            <w:pPr>
              <w:ind w:right="113"/>
              <w:jc w:val="both"/>
              <w:rPr>
                <w:sz w:val="24"/>
                <w:szCs w:val="24"/>
              </w:rPr>
            </w:pPr>
          </w:p>
          <w:p w:rsidR="001C7422" w:rsidRPr="00E46D2C" w:rsidRDefault="001C7422" w:rsidP="00E46D2C">
            <w:pPr>
              <w:ind w:left="113" w:right="113" w:firstLine="8"/>
              <w:jc w:val="both"/>
              <w:rPr>
                <w:sz w:val="24"/>
                <w:szCs w:val="24"/>
              </w:rPr>
            </w:pPr>
            <w:r w:rsidRPr="00E46D2C">
              <w:rPr>
                <w:sz w:val="24"/>
                <w:szCs w:val="24"/>
              </w:rPr>
              <w:t xml:space="preserve">2.1. Кворум заседания совета директоров (наблюдательного совета) эмитента: </w:t>
            </w:r>
          </w:p>
          <w:p w:rsidR="003C0966" w:rsidRPr="00E46D2C" w:rsidRDefault="001C7422" w:rsidP="00E46D2C">
            <w:pPr>
              <w:ind w:left="113" w:right="113" w:firstLine="8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46D2C">
              <w:rPr>
                <w:b/>
                <w:bCs/>
                <w:i/>
                <w:iCs/>
                <w:sz w:val="24"/>
                <w:szCs w:val="24"/>
              </w:rPr>
              <w:t>В голосовании по вопросам повестки дня заседания Сов</w:t>
            </w:r>
            <w:r w:rsidR="0054158B" w:rsidRPr="00E46D2C">
              <w:rPr>
                <w:b/>
                <w:bCs/>
                <w:i/>
                <w:iCs/>
                <w:sz w:val="24"/>
                <w:szCs w:val="24"/>
              </w:rPr>
              <w:t>ета директоров приняли участие 9</w:t>
            </w:r>
            <w:r w:rsidRPr="00E46D2C">
              <w:rPr>
                <w:b/>
                <w:bCs/>
                <w:i/>
                <w:iCs/>
                <w:sz w:val="24"/>
                <w:szCs w:val="24"/>
              </w:rPr>
              <w:t xml:space="preserve"> из 9 избранных членов Совета директоров.</w:t>
            </w:r>
          </w:p>
          <w:p w:rsidR="001C7422" w:rsidRPr="00E46D2C" w:rsidRDefault="001C7422" w:rsidP="00E46D2C">
            <w:pPr>
              <w:tabs>
                <w:tab w:val="left" w:pos="9573"/>
              </w:tabs>
              <w:autoSpaceDE/>
              <w:autoSpaceDN/>
              <w:ind w:left="113" w:right="113" w:firstLine="8"/>
              <w:jc w:val="both"/>
              <w:rPr>
                <w:b/>
                <w:i/>
                <w:sz w:val="24"/>
                <w:szCs w:val="24"/>
              </w:rPr>
            </w:pPr>
            <w:r w:rsidRPr="00E46D2C">
              <w:rPr>
                <w:b/>
                <w:i/>
                <w:sz w:val="24"/>
                <w:szCs w:val="24"/>
              </w:rPr>
              <w:t xml:space="preserve">В соответствии со ст. 68 Федерального закона № 208-ФЗ «Об акционерных обществах» кворум для проведения заседания Совета директоров и принятия решения по всем вопросам, внесенным в повестку дня, имелся. </w:t>
            </w:r>
          </w:p>
          <w:p w:rsidR="001C7422" w:rsidRPr="00E46D2C" w:rsidRDefault="001C7422" w:rsidP="00E46D2C">
            <w:pPr>
              <w:autoSpaceDE/>
              <w:autoSpaceDN/>
              <w:ind w:left="113" w:right="113" w:firstLine="8"/>
              <w:contextualSpacing/>
              <w:jc w:val="both"/>
              <w:rPr>
                <w:sz w:val="24"/>
                <w:szCs w:val="24"/>
              </w:rPr>
            </w:pPr>
          </w:p>
          <w:p w:rsidR="004B4A65" w:rsidRPr="00E46D2C" w:rsidRDefault="001C7422" w:rsidP="00E46D2C">
            <w:pPr>
              <w:autoSpaceDE/>
              <w:autoSpaceDN/>
              <w:ind w:left="113" w:right="113" w:firstLine="8"/>
              <w:contextualSpacing/>
              <w:jc w:val="both"/>
              <w:rPr>
                <w:sz w:val="24"/>
                <w:szCs w:val="24"/>
              </w:rPr>
            </w:pPr>
            <w:r w:rsidRPr="00E46D2C">
              <w:rPr>
                <w:sz w:val="24"/>
                <w:szCs w:val="24"/>
              </w:rPr>
              <w:t>2.2. Результаты голосования по вопросам о принятии решений:</w:t>
            </w:r>
          </w:p>
          <w:p w:rsidR="00F97C62" w:rsidRDefault="00F97C62" w:rsidP="00E46D2C">
            <w:pPr>
              <w:widowControl w:val="0"/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</w:p>
          <w:p w:rsidR="00095AF7" w:rsidRPr="00E46D2C" w:rsidRDefault="00095AF7" w:rsidP="00E46D2C">
            <w:pPr>
              <w:widowControl w:val="0"/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  <w:r w:rsidRPr="00E46D2C">
              <w:rPr>
                <w:sz w:val="24"/>
                <w:szCs w:val="24"/>
              </w:rPr>
              <w:t xml:space="preserve">По </w:t>
            </w:r>
            <w:r w:rsidR="00E46D2C">
              <w:rPr>
                <w:sz w:val="24"/>
                <w:szCs w:val="24"/>
              </w:rPr>
              <w:t>1</w:t>
            </w:r>
            <w:r w:rsidR="00EF2FE8" w:rsidRPr="00E46D2C">
              <w:rPr>
                <w:sz w:val="24"/>
                <w:szCs w:val="24"/>
              </w:rPr>
              <w:t xml:space="preserve"> </w:t>
            </w:r>
            <w:r w:rsidR="00E46D2C">
              <w:rPr>
                <w:sz w:val="24"/>
                <w:szCs w:val="24"/>
              </w:rPr>
              <w:t>вопросу</w:t>
            </w:r>
            <w:r w:rsidRPr="00E46D2C">
              <w:rPr>
                <w:sz w:val="24"/>
                <w:szCs w:val="24"/>
              </w:rPr>
              <w:t xml:space="preserve"> повестки дня результаты голосования сложились следующим образом: </w:t>
            </w:r>
          </w:p>
          <w:p w:rsidR="00095AF7" w:rsidRPr="00E46D2C" w:rsidRDefault="00E46D2C" w:rsidP="00E46D2C">
            <w:pPr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«за» - 5</w:t>
            </w:r>
            <w:r w:rsidR="00095AF7" w:rsidRPr="00E46D2C">
              <w:rPr>
                <w:sz w:val="24"/>
                <w:szCs w:val="24"/>
              </w:rPr>
              <w:t xml:space="preserve"> голосов,</w:t>
            </w:r>
          </w:p>
          <w:p w:rsidR="00095AF7" w:rsidRPr="00E46D2C" w:rsidRDefault="00E46D2C" w:rsidP="00E46D2C">
            <w:pPr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«против»- 1 голос</w:t>
            </w:r>
            <w:r w:rsidR="00095AF7" w:rsidRPr="00E46D2C">
              <w:rPr>
                <w:sz w:val="24"/>
                <w:szCs w:val="24"/>
              </w:rPr>
              <w:t>,</w:t>
            </w:r>
          </w:p>
          <w:p w:rsidR="00095AF7" w:rsidRDefault="00E46D2C" w:rsidP="00E46D2C">
            <w:pPr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«воздержался» - 1 голос</w:t>
            </w:r>
            <w:r w:rsidR="00095AF7" w:rsidRPr="00E46D2C">
              <w:rPr>
                <w:sz w:val="24"/>
                <w:szCs w:val="24"/>
              </w:rPr>
              <w:t>.</w:t>
            </w:r>
          </w:p>
          <w:p w:rsidR="00E46D2C" w:rsidRPr="00E46D2C" w:rsidRDefault="00E46D2C" w:rsidP="00E46D2C">
            <w:pPr>
              <w:widowControl w:val="0"/>
              <w:ind w:left="113" w:right="113"/>
              <w:jc w:val="both"/>
              <w:rPr>
                <w:bCs/>
                <w:i/>
                <w:sz w:val="24"/>
                <w:szCs w:val="24"/>
              </w:rPr>
            </w:pPr>
            <w:r w:rsidRPr="00E46D2C">
              <w:rPr>
                <w:bCs/>
                <w:i/>
                <w:sz w:val="24"/>
                <w:szCs w:val="24"/>
              </w:rPr>
              <w:t xml:space="preserve">Квалификация голосования по вопросу: в соответствии пп.20 п.12.1 ст. 12. Устава Общества решение принимается членами Совета директоров в соответствии со статьей 83 Федерального закона «Об акционерных обществах». В соответствии </w:t>
            </w:r>
            <w:proofErr w:type="gramStart"/>
            <w:r w:rsidRPr="00E46D2C">
              <w:rPr>
                <w:bCs/>
                <w:i/>
                <w:sz w:val="24"/>
                <w:szCs w:val="24"/>
              </w:rPr>
              <w:t>с  п.3</w:t>
            </w:r>
            <w:proofErr w:type="gramEnd"/>
            <w:r w:rsidRPr="00E46D2C">
              <w:rPr>
                <w:bCs/>
                <w:i/>
                <w:sz w:val="24"/>
                <w:szCs w:val="24"/>
              </w:rPr>
              <w:t xml:space="preserve"> указанной статьи Федерального закона № 208-ФЗ «Об акционерных обществах» решение принимается советом директоров (наблюдательным советом) общества большинством голосов (если необходимость большего числа голосов не предусмотрена уставом общества) директоров, не заинтересованных в ее совершении.</w:t>
            </w:r>
          </w:p>
          <w:p w:rsidR="00E46D2C" w:rsidRPr="00E46D2C" w:rsidRDefault="00E46D2C" w:rsidP="00E46D2C">
            <w:pPr>
              <w:widowControl w:val="0"/>
              <w:ind w:left="113" w:right="113"/>
              <w:jc w:val="both"/>
              <w:rPr>
                <w:bCs/>
                <w:i/>
                <w:sz w:val="24"/>
                <w:szCs w:val="24"/>
              </w:rPr>
            </w:pPr>
            <w:r w:rsidRPr="00E46D2C">
              <w:rPr>
                <w:bCs/>
                <w:i/>
                <w:sz w:val="24"/>
                <w:szCs w:val="24"/>
              </w:rPr>
              <w:t xml:space="preserve">В голосовании по данному вопросу не принимает участие Член Совета директоров </w:t>
            </w:r>
            <w:r w:rsidRPr="00E46D2C">
              <w:rPr>
                <w:bCs/>
                <w:i/>
                <w:sz w:val="24"/>
                <w:szCs w:val="24"/>
              </w:rPr>
              <w:lastRenderedPageBreak/>
              <w:t xml:space="preserve">Общества: </w:t>
            </w:r>
          </w:p>
          <w:p w:rsidR="00E46D2C" w:rsidRPr="00E46D2C" w:rsidRDefault="00E46D2C" w:rsidP="00E46D2C">
            <w:pPr>
              <w:widowControl w:val="0"/>
              <w:ind w:left="113" w:right="113"/>
              <w:jc w:val="both"/>
              <w:rPr>
                <w:rFonts w:eastAsia="Calibri"/>
                <w:bCs/>
                <w:i/>
                <w:sz w:val="24"/>
                <w:szCs w:val="24"/>
                <w:lang w:bidi="ru-RU"/>
              </w:rPr>
            </w:pPr>
            <w:r w:rsidRPr="00E46D2C">
              <w:rPr>
                <w:rFonts w:eastAsia="Calibri"/>
                <w:bCs/>
                <w:i/>
                <w:sz w:val="24"/>
                <w:szCs w:val="24"/>
                <w:lang w:bidi="ru-RU"/>
              </w:rPr>
              <w:t>Орлов Д.С. - член Совета директоров и Председатель Совета директоров ПАО «Саратовэнерго» и занимает должность в органах управления АО «</w:t>
            </w:r>
            <w:proofErr w:type="spellStart"/>
            <w:r w:rsidRPr="00E46D2C">
              <w:rPr>
                <w:rFonts w:eastAsia="Calibri"/>
                <w:bCs/>
                <w:i/>
                <w:sz w:val="24"/>
                <w:szCs w:val="24"/>
                <w:lang w:bidi="ru-RU"/>
              </w:rPr>
              <w:t>Мосэнергосбыт</w:t>
            </w:r>
            <w:proofErr w:type="spellEnd"/>
            <w:r w:rsidRPr="00E46D2C">
              <w:rPr>
                <w:rFonts w:eastAsia="Calibri"/>
                <w:bCs/>
                <w:i/>
                <w:sz w:val="24"/>
                <w:szCs w:val="24"/>
                <w:lang w:bidi="ru-RU"/>
              </w:rPr>
              <w:t>» - юридического лица, являющегося стороной в сделке.</w:t>
            </w:r>
          </w:p>
          <w:p w:rsidR="00E46D2C" w:rsidRPr="00E46D2C" w:rsidRDefault="00E46D2C" w:rsidP="00E46D2C">
            <w:pPr>
              <w:widowControl w:val="0"/>
              <w:ind w:left="113" w:right="113"/>
              <w:jc w:val="both"/>
              <w:rPr>
                <w:bCs/>
                <w:i/>
                <w:sz w:val="24"/>
                <w:szCs w:val="24"/>
              </w:rPr>
            </w:pPr>
            <w:r w:rsidRPr="00E46D2C">
              <w:rPr>
                <w:bCs/>
                <w:i/>
                <w:sz w:val="24"/>
                <w:szCs w:val="24"/>
              </w:rPr>
              <w:t xml:space="preserve">Щербаков А.А. - Генеральный директор ПАО «Саратовэнерго»- в течение одного года, предшествовавшего принятию решения, являлся и является лицом, осуществляющим функции единоличного исполнительного органа Общества. </w:t>
            </w:r>
          </w:p>
          <w:p w:rsidR="00E46D2C" w:rsidRPr="00E46D2C" w:rsidRDefault="00E46D2C" w:rsidP="00E46D2C">
            <w:pPr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</w:p>
          <w:p w:rsidR="0054158B" w:rsidRPr="00E46D2C" w:rsidRDefault="00E46D2C" w:rsidP="00E46D2C">
            <w:pPr>
              <w:widowControl w:val="0"/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2</w:t>
            </w:r>
            <w:r w:rsidR="0054158B" w:rsidRPr="00E46D2C">
              <w:rPr>
                <w:sz w:val="24"/>
                <w:szCs w:val="24"/>
              </w:rPr>
              <w:t xml:space="preserve"> вопросу повестки дня результаты голосования сложились следующим образом: </w:t>
            </w:r>
          </w:p>
          <w:p w:rsidR="0054158B" w:rsidRPr="00E46D2C" w:rsidRDefault="0054158B" w:rsidP="00E46D2C">
            <w:pPr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  <w:r w:rsidRPr="00E46D2C">
              <w:rPr>
                <w:sz w:val="24"/>
                <w:szCs w:val="24"/>
              </w:rPr>
              <w:t xml:space="preserve"> «з</w:t>
            </w:r>
            <w:r w:rsidR="00E46D2C">
              <w:rPr>
                <w:sz w:val="24"/>
                <w:szCs w:val="24"/>
              </w:rPr>
              <w:t>а» - 9</w:t>
            </w:r>
            <w:r w:rsidRPr="00E46D2C">
              <w:rPr>
                <w:sz w:val="24"/>
                <w:szCs w:val="24"/>
              </w:rPr>
              <w:t xml:space="preserve"> голосов,</w:t>
            </w:r>
          </w:p>
          <w:p w:rsidR="0054158B" w:rsidRPr="00E46D2C" w:rsidRDefault="0054158B" w:rsidP="00E46D2C">
            <w:pPr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  <w:r w:rsidRPr="00E46D2C">
              <w:rPr>
                <w:sz w:val="24"/>
                <w:szCs w:val="24"/>
              </w:rPr>
              <w:t>«против»- нет,</w:t>
            </w:r>
          </w:p>
          <w:p w:rsidR="0054158B" w:rsidRPr="00E46D2C" w:rsidRDefault="00E46D2C" w:rsidP="00E46D2C">
            <w:pPr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«воздержался» - нет</w:t>
            </w:r>
            <w:r w:rsidR="0054158B" w:rsidRPr="00E46D2C">
              <w:rPr>
                <w:sz w:val="24"/>
                <w:szCs w:val="24"/>
              </w:rPr>
              <w:t xml:space="preserve">. </w:t>
            </w:r>
          </w:p>
          <w:p w:rsidR="00FA6E12" w:rsidRPr="00E46D2C" w:rsidRDefault="00842F44" w:rsidP="00E46D2C">
            <w:pPr>
              <w:autoSpaceDE/>
              <w:autoSpaceDN/>
              <w:ind w:left="113" w:right="113" w:firstLine="8"/>
              <w:jc w:val="both"/>
              <w:rPr>
                <w:color w:val="FF0000"/>
                <w:sz w:val="24"/>
                <w:szCs w:val="24"/>
              </w:rPr>
            </w:pPr>
            <w:r w:rsidRPr="0054158B">
              <w:rPr>
                <w:bCs/>
                <w:i/>
                <w:sz w:val="24"/>
                <w:szCs w:val="24"/>
              </w:rPr>
              <w:t xml:space="preserve">Квалификация голосования по </w:t>
            </w:r>
            <w:r>
              <w:rPr>
                <w:bCs/>
                <w:i/>
                <w:sz w:val="24"/>
                <w:szCs w:val="24"/>
              </w:rPr>
              <w:t>вопросу</w:t>
            </w:r>
            <w:r w:rsidRPr="0054158B">
              <w:rPr>
                <w:bCs/>
                <w:i/>
                <w:sz w:val="24"/>
                <w:szCs w:val="24"/>
              </w:rPr>
              <w:t xml:space="preserve"> повестки дня: в соответствии с п.15.3. ст. 15 Устава ПАО «Саратовэнерго» решение по указанным вопросам принимается большинством голосов членов Совета директоров Общества</w:t>
            </w:r>
            <w:r w:rsidRPr="0054158B">
              <w:rPr>
                <w:bCs/>
                <w:i/>
                <w:iCs/>
                <w:sz w:val="24"/>
                <w:szCs w:val="24"/>
              </w:rPr>
              <w:t>, принимающих участие в заседании</w:t>
            </w:r>
          </w:p>
          <w:p w:rsidR="004D612F" w:rsidRPr="00E46D2C" w:rsidRDefault="004D612F" w:rsidP="00E46D2C">
            <w:pPr>
              <w:widowControl w:val="0"/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</w:p>
          <w:p w:rsidR="006E205F" w:rsidRPr="00E46D2C" w:rsidRDefault="001C7422" w:rsidP="00E46D2C">
            <w:pPr>
              <w:widowControl w:val="0"/>
              <w:numPr>
                <w:ilvl w:val="1"/>
                <w:numId w:val="2"/>
              </w:numPr>
              <w:autoSpaceDE/>
              <w:autoSpaceDN/>
              <w:ind w:left="113" w:right="113" w:firstLine="8"/>
              <w:jc w:val="both"/>
              <w:rPr>
                <w:b/>
                <w:sz w:val="24"/>
                <w:szCs w:val="24"/>
              </w:rPr>
            </w:pPr>
            <w:r w:rsidRPr="00E46D2C">
              <w:rPr>
                <w:sz w:val="24"/>
                <w:szCs w:val="24"/>
              </w:rPr>
              <w:t>Содержание решений, принятых советом директоров (наблюдательным советом) эмитента:</w:t>
            </w:r>
          </w:p>
          <w:p w:rsidR="00E46D2C" w:rsidRPr="00E46D2C" w:rsidRDefault="00F522DC" w:rsidP="00E46D2C">
            <w:pPr>
              <w:ind w:left="113" w:right="113"/>
              <w:jc w:val="both"/>
              <w:rPr>
                <w:b/>
                <w:color w:val="000000"/>
                <w:sz w:val="24"/>
                <w:szCs w:val="24"/>
              </w:rPr>
            </w:pPr>
            <w:r w:rsidRPr="00E46D2C">
              <w:rPr>
                <w:rFonts w:eastAsia="Calibri"/>
                <w:color w:val="000000"/>
                <w:spacing w:val="-2"/>
                <w:sz w:val="24"/>
                <w:szCs w:val="24"/>
                <w:lang w:eastAsia="en-US"/>
              </w:rPr>
              <w:t xml:space="preserve"> </w:t>
            </w:r>
            <w:r w:rsidR="00E46D2C" w:rsidRPr="00E46D2C">
              <w:rPr>
                <w:b/>
                <w:sz w:val="24"/>
                <w:szCs w:val="24"/>
              </w:rPr>
              <w:t xml:space="preserve">ВОПРОС № 1: </w:t>
            </w:r>
            <w:r w:rsidR="00E46D2C" w:rsidRPr="00E46D2C">
              <w:rPr>
                <w:b/>
                <w:i/>
                <w:color w:val="000000"/>
                <w:sz w:val="24"/>
                <w:szCs w:val="24"/>
              </w:rPr>
              <w:t>Об определении цены и о согласии на совершение сделки, в совершении которой имеется заинтересованность.</w:t>
            </w:r>
          </w:p>
          <w:p w:rsidR="00842F44" w:rsidRDefault="00E46D2C" w:rsidP="00842F44">
            <w:pPr>
              <w:ind w:left="113" w:right="113" w:firstLine="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Принятое решение</w:t>
            </w:r>
            <w:r w:rsidRPr="00E46D2C">
              <w:rPr>
                <w:b/>
                <w:sz w:val="24"/>
                <w:szCs w:val="24"/>
              </w:rPr>
              <w:t xml:space="preserve">: </w:t>
            </w:r>
          </w:p>
          <w:p w:rsidR="00E46D2C" w:rsidRPr="00E46D2C" w:rsidRDefault="00E46D2C" w:rsidP="00842F44">
            <w:pPr>
              <w:ind w:left="113" w:right="113" w:firstLine="718"/>
              <w:jc w:val="both"/>
              <w:rPr>
                <w:sz w:val="24"/>
                <w:szCs w:val="24"/>
              </w:rPr>
            </w:pPr>
            <w:r w:rsidRPr="00E46D2C">
              <w:rPr>
                <w:color w:val="000000"/>
                <w:sz w:val="24"/>
                <w:szCs w:val="24"/>
              </w:rPr>
              <w:t>1. Определить</w:t>
            </w:r>
            <w:r w:rsidR="004A0FD8">
              <w:rPr>
                <w:color w:val="000000"/>
                <w:sz w:val="24"/>
                <w:szCs w:val="24"/>
              </w:rPr>
              <w:t>, что цена возмездного оказания</w:t>
            </w:r>
            <w:r w:rsidRPr="00E46D2C">
              <w:rPr>
                <w:color w:val="000000"/>
                <w:sz w:val="24"/>
                <w:szCs w:val="24"/>
              </w:rPr>
              <w:t xml:space="preserve"> услуг Договора №20-052 от 18.02.2020 в редакции дополнительного соглашения №</w:t>
            </w:r>
            <w:proofErr w:type="gramStart"/>
            <w:r w:rsidRPr="00E46D2C">
              <w:rPr>
                <w:color w:val="000000"/>
                <w:sz w:val="24"/>
                <w:szCs w:val="24"/>
              </w:rPr>
              <w:t>2  между</w:t>
            </w:r>
            <w:proofErr w:type="gramEnd"/>
            <w:r w:rsidRPr="00E46D2C">
              <w:rPr>
                <w:color w:val="000000"/>
                <w:sz w:val="24"/>
                <w:szCs w:val="24"/>
              </w:rPr>
              <w:t xml:space="preserve"> публичным акционерным обществом «Саратовэнерго» (ПАО «Саратовэнерго») и акционерным обществом «</w:t>
            </w:r>
            <w:proofErr w:type="spellStart"/>
            <w:r w:rsidRPr="00E46D2C">
              <w:rPr>
                <w:color w:val="000000"/>
                <w:sz w:val="24"/>
                <w:szCs w:val="24"/>
              </w:rPr>
              <w:t>Мосэнергосбыт</w:t>
            </w:r>
            <w:proofErr w:type="spellEnd"/>
            <w:r w:rsidRPr="00E46D2C">
              <w:rPr>
                <w:color w:val="000000"/>
                <w:sz w:val="24"/>
                <w:szCs w:val="24"/>
              </w:rPr>
              <w:t>» (АО «</w:t>
            </w:r>
            <w:proofErr w:type="spellStart"/>
            <w:r w:rsidRPr="00E46D2C">
              <w:rPr>
                <w:color w:val="000000"/>
                <w:sz w:val="24"/>
                <w:szCs w:val="24"/>
              </w:rPr>
              <w:t>Мосэнергосбыт</w:t>
            </w:r>
            <w:proofErr w:type="spellEnd"/>
            <w:r w:rsidRPr="00E46D2C">
              <w:rPr>
                <w:color w:val="000000"/>
                <w:sz w:val="24"/>
                <w:szCs w:val="24"/>
              </w:rPr>
              <w:t>») составляет 4 541 390 (Четыре миллиона пятьсот сорок одна тысяча триста девяносто) рублей 15 копеек, в том числе НДС по ставке согласно законодательству.</w:t>
            </w:r>
          </w:p>
          <w:p w:rsidR="00E46D2C" w:rsidRPr="00E46D2C" w:rsidRDefault="00E46D2C" w:rsidP="00E46D2C">
            <w:pPr>
              <w:ind w:left="113" w:right="113" w:firstLine="709"/>
              <w:jc w:val="both"/>
              <w:rPr>
                <w:sz w:val="24"/>
                <w:szCs w:val="24"/>
              </w:rPr>
            </w:pPr>
            <w:r w:rsidRPr="00E46D2C">
              <w:rPr>
                <w:color w:val="000000"/>
                <w:sz w:val="24"/>
                <w:szCs w:val="24"/>
              </w:rPr>
              <w:t>2. Дать согласие на совершение сделки, в совершении которой имеется заинтересованность - Договора №20-052 от 18.02.2020 в редакции дополнительного соглашения №2 возмездного оказания услуг между ПАО «Саратовэнерго» и АО «</w:t>
            </w:r>
            <w:proofErr w:type="spellStart"/>
            <w:r w:rsidRPr="00E46D2C">
              <w:rPr>
                <w:color w:val="000000"/>
                <w:sz w:val="24"/>
                <w:szCs w:val="24"/>
              </w:rPr>
              <w:t>Мосэнергосбыт</w:t>
            </w:r>
            <w:proofErr w:type="spellEnd"/>
            <w:r w:rsidRPr="00E46D2C">
              <w:rPr>
                <w:color w:val="000000"/>
                <w:sz w:val="24"/>
                <w:szCs w:val="24"/>
              </w:rPr>
              <w:t>» на следующих существенных условиях:</w:t>
            </w:r>
          </w:p>
          <w:p w:rsidR="00E46D2C" w:rsidRPr="00E46D2C" w:rsidRDefault="00E46D2C" w:rsidP="00E46D2C">
            <w:pPr>
              <w:ind w:left="113" w:right="113" w:firstLine="709"/>
              <w:jc w:val="both"/>
              <w:rPr>
                <w:sz w:val="24"/>
                <w:szCs w:val="24"/>
              </w:rPr>
            </w:pPr>
            <w:r w:rsidRPr="00E46D2C">
              <w:rPr>
                <w:color w:val="000000"/>
                <w:sz w:val="24"/>
                <w:szCs w:val="24"/>
              </w:rPr>
              <w:t>Стороны договора:</w:t>
            </w:r>
          </w:p>
          <w:p w:rsidR="00E46D2C" w:rsidRPr="00E46D2C" w:rsidRDefault="00E46D2C" w:rsidP="00E46D2C">
            <w:pPr>
              <w:ind w:left="113" w:right="113" w:firstLine="709"/>
              <w:jc w:val="both"/>
              <w:rPr>
                <w:sz w:val="24"/>
                <w:szCs w:val="24"/>
              </w:rPr>
            </w:pPr>
            <w:r w:rsidRPr="00E46D2C">
              <w:rPr>
                <w:color w:val="000000"/>
                <w:sz w:val="24"/>
                <w:szCs w:val="24"/>
              </w:rPr>
              <w:t>Публичное акционерное общество «Саратовэнерго» (ПАО «Саратовэнерго») – «Заказчик»;</w:t>
            </w:r>
          </w:p>
          <w:p w:rsidR="00E46D2C" w:rsidRPr="00E46D2C" w:rsidRDefault="00E46D2C" w:rsidP="00E46D2C">
            <w:pPr>
              <w:ind w:left="113" w:right="113" w:firstLine="709"/>
              <w:jc w:val="both"/>
              <w:rPr>
                <w:sz w:val="24"/>
                <w:szCs w:val="24"/>
              </w:rPr>
            </w:pPr>
            <w:r w:rsidRPr="00E46D2C">
              <w:rPr>
                <w:color w:val="000000"/>
                <w:sz w:val="24"/>
                <w:szCs w:val="24"/>
              </w:rPr>
              <w:t>Акционерное общество «</w:t>
            </w:r>
            <w:proofErr w:type="spellStart"/>
            <w:r w:rsidRPr="00E46D2C">
              <w:rPr>
                <w:color w:val="000000"/>
                <w:sz w:val="24"/>
                <w:szCs w:val="24"/>
              </w:rPr>
              <w:t>Мосэнергосбыт</w:t>
            </w:r>
            <w:proofErr w:type="spellEnd"/>
            <w:r w:rsidRPr="00E46D2C">
              <w:rPr>
                <w:color w:val="000000"/>
                <w:sz w:val="24"/>
                <w:szCs w:val="24"/>
              </w:rPr>
              <w:t>» (АО «</w:t>
            </w:r>
            <w:proofErr w:type="spellStart"/>
            <w:r w:rsidRPr="00E46D2C">
              <w:rPr>
                <w:color w:val="000000"/>
                <w:sz w:val="24"/>
                <w:szCs w:val="24"/>
              </w:rPr>
              <w:t>Мосэнергосбыт</w:t>
            </w:r>
            <w:proofErr w:type="spellEnd"/>
            <w:r w:rsidRPr="00E46D2C">
              <w:rPr>
                <w:color w:val="000000"/>
                <w:sz w:val="24"/>
                <w:szCs w:val="24"/>
              </w:rPr>
              <w:t>») – «Исполнитель».</w:t>
            </w:r>
          </w:p>
          <w:p w:rsidR="00E46D2C" w:rsidRPr="00E46D2C" w:rsidRDefault="00E46D2C" w:rsidP="00E46D2C">
            <w:pPr>
              <w:ind w:left="113" w:right="113" w:firstLine="709"/>
              <w:jc w:val="both"/>
              <w:rPr>
                <w:sz w:val="24"/>
                <w:szCs w:val="24"/>
              </w:rPr>
            </w:pPr>
            <w:r w:rsidRPr="00E46D2C">
              <w:rPr>
                <w:color w:val="000000"/>
                <w:sz w:val="24"/>
                <w:szCs w:val="24"/>
              </w:rPr>
              <w:t>Предмет договора:</w:t>
            </w:r>
          </w:p>
          <w:p w:rsidR="00E46D2C" w:rsidRPr="00E46D2C" w:rsidRDefault="00E46D2C" w:rsidP="00E46D2C">
            <w:pPr>
              <w:ind w:left="113" w:right="113" w:firstLine="709"/>
              <w:jc w:val="both"/>
              <w:rPr>
                <w:sz w:val="24"/>
                <w:szCs w:val="24"/>
              </w:rPr>
            </w:pPr>
            <w:r w:rsidRPr="00E46D2C">
              <w:rPr>
                <w:color w:val="000000"/>
                <w:sz w:val="24"/>
                <w:szCs w:val="24"/>
              </w:rPr>
              <w:t xml:space="preserve">Исполнитель принимает на себя обязательство оказывать услуги по технической поддержке программы для ЭВМ Автоматизированная система управления </w:t>
            </w:r>
            <w:proofErr w:type="spellStart"/>
            <w:r w:rsidRPr="00E46D2C">
              <w:rPr>
                <w:color w:val="000000"/>
                <w:sz w:val="24"/>
                <w:szCs w:val="24"/>
              </w:rPr>
              <w:t>энергосбытовой</w:t>
            </w:r>
            <w:proofErr w:type="spellEnd"/>
            <w:r w:rsidRPr="00E46D2C">
              <w:rPr>
                <w:color w:val="000000"/>
                <w:sz w:val="24"/>
                <w:szCs w:val="24"/>
              </w:rPr>
              <w:t xml:space="preserve"> деятельностью «БЫТ» (АСУ ЭД БЫТ (Региональная версия), программы для ЭВМ Личный кабинет клиента ЛКК ФЛ (версия 2.0.), программы для ЭВМ Система управления </w:t>
            </w:r>
            <w:proofErr w:type="spellStart"/>
            <w:r w:rsidRPr="00E46D2C">
              <w:rPr>
                <w:color w:val="000000"/>
                <w:sz w:val="24"/>
                <w:szCs w:val="24"/>
              </w:rPr>
              <w:t>энергосбытовой</w:t>
            </w:r>
            <w:proofErr w:type="spellEnd"/>
            <w:r w:rsidRPr="00E46D2C">
              <w:rPr>
                <w:color w:val="000000"/>
                <w:sz w:val="24"/>
                <w:szCs w:val="24"/>
              </w:rPr>
              <w:t xml:space="preserve"> деятельностью и запуску процессов загрузки данных в Государственную систему жилищно-коммунального хозяйства для нужд ПАО «Саратовэнерго».</w:t>
            </w:r>
          </w:p>
          <w:p w:rsidR="00E46D2C" w:rsidRPr="00E46D2C" w:rsidRDefault="00E46D2C" w:rsidP="00E46D2C">
            <w:pPr>
              <w:ind w:left="113" w:right="113" w:firstLine="709"/>
              <w:jc w:val="both"/>
              <w:rPr>
                <w:sz w:val="24"/>
                <w:szCs w:val="24"/>
              </w:rPr>
            </w:pPr>
            <w:r w:rsidRPr="00E46D2C">
              <w:rPr>
                <w:color w:val="000000"/>
                <w:sz w:val="24"/>
                <w:szCs w:val="24"/>
              </w:rPr>
              <w:t>Цена договора:</w:t>
            </w:r>
          </w:p>
          <w:p w:rsidR="00E46D2C" w:rsidRPr="00E46D2C" w:rsidRDefault="00E46D2C" w:rsidP="00E46D2C">
            <w:pPr>
              <w:ind w:left="113" w:right="113" w:firstLine="709"/>
              <w:jc w:val="both"/>
              <w:rPr>
                <w:sz w:val="24"/>
                <w:szCs w:val="24"/>
              </w:rPr>
            </w:pPr>
            <w:r w:rsidRPr="00E46D2C">
              <w:rPr>
                <w:color w:val="000000"/>
                <w:sz w:val="24"/>
                <w:szCs w:val="24"/>
              </w:rPr>
              <w:t>Стоимость по Договору №20-052 от 18.02.2020 в редакции дополнительного соглашения №2 составляет 4 541 390 (Четыре миллиона пятьсот сорок одна тысяча триста девяносто) рублей 15 копеек, в том числе НДС по ставке согласно законодательству.</w:t>
            </w:r>
          </w:p>
          <w:p w:rsidR="00E46D2C" w:rsidRPr="00E46D2C" w:rsidRDefault="00E46D2C" w:rsidP="00E46D2C">
            <w:pPr>
              <w:ind w:left="113" w:right="113" w:firstLine="709"/>
              <w:jc w:val="both"/>
              <w:rPr>
                <w:sz w:val="24"/>
                <w:szCs w:val="24"/>
              </w:rPr>
            </w:pPr>
            <w:r w:rsidRPr="00E46D2C">
              <w:rPr>
                <w:color w:val="000000"/>
                <w:sz w:val="24"/>
                <w:szCs w:val="24"/>
              </w:rPr>
              <w:t>Срок договора:</w:t>
            </w:r>
          </w:p>
          <w:p w:rsidR="00E46D2C" w:rsidRPr="00E46D2C" w:rsidRDefault="00E46D2C" w:rsidP="00E46D2C">
            <w:pPr>
              <w:ind w:left="113" w:right="113" w:firstLine="709"/>
              <w:jc w:val="both"/>
              <w:rPr>
                <w:sz w:val="24"/>
                <w:szCs w:val="24"/>
              </w:rPr>
            </w:pPr>
            <w:r w:rsidRPr="00E46D2C">
              <w:rPr>
                <w:color w:val="000000"/>
                <w:sz w:val="24"/>
                <w:szCs w:val="24"/>
              </w:rPr>
              <w:t>Договор вступает в силу с даты его подписания Сторонами и действует до полного исполнения Сторонами принятых на себя обязательств.</w:t>
            </w:r>
          </w:p>
          <w:p w:rsidR="00E46D2C" w:rsidRPr="00E46D2C" w:rsidRDefault="00E46D2C" w:rsidP="00E46D2C">
            <w:pPr>
              <w:ind w:left="113" w:right="113" w:firstLine="709"/>
              <w:jc w:val="both"/>
              <w:rPr>
                <w:sz w:val="24"/>
                <w:szCs w:val="24"/>
              </w:rPr>
            </w:pPr>
            <w:r w:rsidRPr="00E46D2C">
              <w:rPr>
                <w:color w:val="000000"/>
                <w:sz w:val="24"/>
                <w:szCs w:val="24"/>
              </w:rPr>
              <w:t>Иные существенные условия договора:</w:t>
            </w:r>
          </w:p>
          <w:p w:rsidR="00E46D2C" w:rsidRPr="00E46D2C" w:rsidRDefault="00E46D2C" w:rsidP="00E46D2C">
            <w:pPr>
              <w:ind w:left="113" w:right="113" w:firstLine="709"/>
              <w:jc w:val="both"/>
              <w:rPr>
                <w:sz w:val="24"/>
                <w:szCs w:val="24"/>
              </w:rPr>
            </w:pPr>
            <w:r w:rsidRPr="00E46D2C">
              <w:rPr>
                <w:color w:val="000000"/>
                <w:sz w:val="24"/>
                <w:szCs w:val="24"/>
              </w:rPr>
              <w:t>1. Услуги оказываются в период с 01.01.2020 по 31.12.2020.</w:t>
            </w:r>
          </w:p>
          <w:p w:rsidR="00E46D2C" w:rsidRPr="00E46D2C" w:rsidRDefault="00E46D2C" w:rsidP="00E46D2C">
            <w:pPr>
              <w:ind w:left="113" w:right="113" w:firstLine="709"/>
              <w:jc w:val="both"/>
              <w:rPr>
                <w:sz w:val="24"/>
                <w:szCs w:val="24"/>
              </w:rPr>
            </w:pPr>
            <w:r w:rsidRPr="00E46D2C">
              <w:rPr>
                <w:color w:val="000000"/>
                <w:sz w:val="24"/>
                <w:szCs w:val="24"/>
              </w:rPr>
              <w:t>2. Договор может быть расторгнут досрочно при условии уведомления за 30 (Тридцать) календарных дней по следующим основаниям:</w:t>
            </w:r>
          </w:p>
          <w:p w:rsidR="00E46D2C" w:rsidRPr="00E46D2C" w:rsidRDefault="00E46D2C" w:rsidP="00E46D2C">
            <w:pPr>
              <w:ind w:left="113" w:right="113" w:firstLine="709"/>
              <w:jc w:val="both"/>
              <w:rPr>
                <w:sz w:val="24"/>
                <w:szCs w:val="24"/>
              </w:rPr>
            </w:pPr>
            <w:r w:rsidRPr="00E46D2C">
              <w:rPr>
                <w:color w:val="000000"/>
                <w:sz w:val="24"/>
                <w:szCs w:val="24"/>
              </w:rPr>
              <w:lastRenderedPageBreak/>
              <w:t>-по взаимному согласию Сторон, оформленному в письменном виде;</w:t>
            </w:r>
          </w:p>
          <w:p w:rsidR="00E46D2C" w:rsidRPr="00E46D2C" w:rsidRDefault="00E46D2C" w:rsidP="00E46D2C">
            <w:pPr>
              <w:ind w:left="113" w:right="113" w:firstLine="709"/>
              <w:jc w:val="both"/>
              <w:rPr>
                <w:sz w:val="24"/>
                <w:szCs w:val="24"/>
              </w:rPr>
            </w:pPr>
            <w:r w:rsidRPr="00E46D2C">
              <w:rPr>
                <w:color w:val="000000"/>
                <w:sz w:val="24"/>
                <w:szCs w:val="24"/>
              </w:rPr>
              <w:t>-в одностороннем порядке по инициативе Заказчика, но при условии завершения расчетов с Исполнителем за оказанные Услуги;</w:t>
            </w:r>
          </w:p>
          <w:p w:rsidR="00E46D2C" w:rsidRPr="00E46D2C" w:rsidRDefault="00E46D2C" w:rsidP="00E46D2C">
            <w:pPr>
              <w:ind w:left="113" w:right="113" w:firstLine="709"/>
              <w:jc w:val="both"/>
              <w:rPr>
                <w:sz w:val="24"/>
                <w:szCs w:val="24"/>
              </w:rPr>
            </w:pPr>
            <w:r w:rsidRPr="00E46D2C">
              <w:rPr>
                <w:color w:val="000000"/>
                <w:sz w:val="24"/>
                <w:szCs w:val="24"/>
              </w:rPr>
              <w:t xml:space="preserve">-по иным основаниям, предусмотренным законодательством Российской Федерации </w:t>
            </w:r>
            <w:proofErr w:type="gramStart"/>
            <w:r w:rsidRPr="00E46D2C">
              <w:rPr>
                <w:color w:val="000000"/>
                <w:sz w:val="24"/>
                <w:szCs w:val="24"/>
              </w:rPr>
              <w:t>и  Договором</w:t>
            </w:r>
            <w:proofErr w:type="gramEnd"/>
            <w:r w:rsidRPr="00E46D2C">
              <w:rPr>
                <w:color w:val="000000"/>
                <w:sz w:val="24"/>
                <w:szCs w:val="24"/>
              </w:rPr>
              <w:t>.</w:t>
            </w:r>
          </w:p>
          <w:p w:rsidR="00E46D2C" w:rsidRPr="00E46D2C" w:rsidRDefault="00E46D2C" w:rsidP="00E46D2C">
            <w:pPr>
              <w:ind w:left="113" w:right="113" w:firstLine="709"/>
              <w:jc w:val="both"/>
              <w:rPr>
                <w:sz w:val="24"/>
                <w:szCs w:val="24"/>
              </w:rPr>
            </w:pPr>
            <w:r w:rsidRPr="00E46D2C">
              <w:rPr>
                <w:color w:val="000000"/>
                <w:sz w:val="24"/>
                <w:szCs w:val="24"/>
              </w:rPr>
              <w:t>3. Договором Заказчик поручает Исполнителю обработку персональных данных абонентов (физических лиц) и работников Заказчика в соответствии с ч.3 ст.6 Федерального закона от 27.07.2006 № 152-ФЗ «О персональных данных». Заказчик, заключая настоящий Договор, заверяет Исполнителя о наличии согласия субъектов персональных данных на поручение обработки персональных данных Исполнителю, если иное не предусмотрено федеральным законом</w:t>
            </w:r>
          </w:p>
          <w:p w:rsidR="00E46D2C" w:rsidRPr="00E46D2C" w:rsidRDefault="00E46D2C" w:rsidP="00E46D2C">
            <w:pPr>
              <w:ind w:left="113" w:right="113" w:firstLine="709"/>
              <w:jc w:val="both"/>
              <w:rPr>
                <w:sz w:val="24"/>
                <w:szCs w:val="24"/>
              </w:rPr>
            </w:pPr>
            <w:r w:rsidRPr="00E46D2C">
              <w:rPr>
                <w:color w:val="000000"/>
                <w:sz w:val="24"/>
                <w:szCs w:val="24"/>
              </w:rPr>
              <w:t>- контролирующее лицо - ПАО «</w:t>
            </w:r>
            <w:proofErr w:type="spellStart"/>
            <w:r w:rsidRPr="00E46D2C">
              <w:rPr>
                <w:color w:val="000000"/>
                <w:sz w:val="24"/>
                <w:szCs w:val="24"/>
              </w:rPr>
              <w:t>Интер</w:t>
            </w:r>
            <w:proofErr w:type="spellEnd"/>
            <w:r w:rsidRPr="00E46D2C">
              <w:rPr>
                <w:color w:val="000000"/>
                <w:sz w:val="24"/>
                <w:szCs w:val="24"/>
              </w:rPr>
              <w:t xml:space="preserve"> РАО», имеющее право прямо или косвенно (через подконтрольных ему лиц) распоряжаться в силу участия в ПАО «Саратовэнерго» более 50 процентами голосов в высшем органе управления, а также являющееся контролирующим лицом АО «</w:t>
            </w:r>
            <w:proofErr w:type="spellStart"/>
            <w:r w:rsidRPr="00E46D2C">
              <w:rPr>
                <w:color w:val="000000"/>
                <w:sz w:val="24"/>
                <w:szCs w:val="24"/>
              </w:rPr>
              <w:t>Мосэнергосбыт</w:t>
            </w:r>
            <w:proofErr w:type="spellEnd"/>
            <w:r w:rsidRPr="00E46D2C">
              <w:rPr>
                <w:color w:val="000000"/>
                <w:sz w:val="24"/>
                <w:szCs w:val="24"/>
              </w:rPr>
              <w:t>», являющегося стороной в сделке.</w:t>
            </w:r>
          </w:p>
          <w:p w:rsidR="00E46D2C" w:rsidRPr="00E46D2C" w:rsidRDefault="00E46D2C" w:rsidP="00E46D2C">
            <w:pPr>
              <w:ind w:left="113" w:right="113" w:firstLine="709"/>
              <w:jc w:val="both"/>
              <w:rPr>
                <w:sz w:val="24"/>
                <w:szCs w:val="24"/>
              </w:rPr>
            </w:pPr>
            <w:r w:rsidRPr="00E46D2C">
              <w:rPr>
                <w:color w:val="000000"/>
                <w:sz w:val="24"/>
                <w:szCs w:val="24"/>
              </w:rPr>
              <w:t>- член Совета директоров и Председатель Совета директоров ПАО «Саратовэнерго» - Орлов Д.С. занимает должность в органах управления АО «</w:t>
            </w:r>
            <w:proofErr w:type="spellStart"/>
            <w:r w:rsidRPr="00E46D2C">
              <w:rPr>
                <w:color w:val="000000"/>
                <w:sz w:val="24"/>
                <w:szCs w:val="24"/>
              </w:rPr>
              <w:t>Мосэнергосбыт</w:t>
            </w:r>
            <w:proofErr w:type="spellEnd"/>
            <w:r w:rsidRPr="00E46D2C">
              <w:rPr>
                <w:color w:val="000000"/>
                <w:sz w:val="24"/>
                <w:szCs w:val="24"/>
              </w:rPr>
              <w:t>» - юридического лица, являющегося стороной в сделке.</w:t>
            </w:r>
          </w:p>
          <w:p w:rsidR="00842F44" w:rsidRDefault="00842F44" w:rsidP="00E46D2C">
            <w:pPr>
              <w:ind w:left="113" w:right="113"/>
              <w:jc w:val="both"/>
              <w:rPr>
                <w:b/>
                <w:sz w:val="24"/>
                <w:szCs w:val="24"/>
              </w:rPr>
            </w:pPr>
          </w:p>
          <w:p w:rsidR="00E46D2C" w:rsidRPr="00E46D2C" w:rsidRDefault="00E46D2C" w:rsidP="00E46D2C">
            <w:pPr>
              <w:ind w:left="113" w:right="113"/>
              <w:jc w:val="both"/>
              <w:rPr>
                <w:b/>
                <w:color w:val="000000"/>
                <w:sz w:val="24"/>
                <w:szCs w:val="24"/>
              </w:rPr>
            </w:pPr>
            <w:r w:rsidRPr="00E46D2C">
              <w:rPr>
                <w:b/>
                <w:sz w:val="24"/>
                <w:szCs w:val="24"/>
              </w:rPr>
              <w:t xml:space="preserve">ВОПРОС № 2: </w:t>
            </w:r>
            <w:r w:rsidRPr="00E46D2C">
              <w:rPr>
                <w:b/>
                <w:i/>
                <w:color w:val="000000"/>
                <w:sz w:val="24"/>
                <w:szCs w:val="24"/>
              </w:rPr>
              <w:t>Об утверждении внутренних документов Общества.</w:t>
            </w:r>
          </w:p>
          <w:p w:rsidR="00E46D2C" w:rsidRPr="00E46D2C" w:rsidRDefault="00E46D2C" w:rsidP="00E46D2C">
            <w:pPr>
              <w:ind w:left="113" w:right="113"/>
              <w:jc w:val="both"/>
              <w:rPr>
                <w:sz w:val="24"/>
                <w:szCs w:val="24"/>
              </w:rPr>
            </w:pPr>
            <w:r w:rsidRPr="00E46D2C">
              <w:rPr>
                <w:b/>
                <w:color w:val="000000"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Принятое решение</w:t>
            </w:r>
            <w:r w:rsidRPr="00E46D2C">
              <w:rPr>
                <w:b/>
                <w:sz w:val="24"/>
                <w:szCs w:val="24"/>
              </w:rPr>
              <w:t xml:space="preserve">: </w:t>
            </w:r>
          </w:p>
          <w:p w:rsidR="00E46D2C" w:rsidRPr="00E46D2C" w:rsidRDefault="00E46D2C" w:rsidP="00E46D2C">
            <w:pPr>
              <w:ind w:left="113" w:right="113" w:firstLine="709"/>
              <w:jc w:val="both"/>
              <w:rPr>
                <w:sz w:val="24"/>
                <w:szCs w:val="24"/>
              </w:rPr>
            </w:pPr>
            <w:r w:rsidRPr="00E46D2C">
              <w:rPr>
                <w:color w:val="000000"/>
                <w:sz w:val="24"/>
                <w:szCs w:val="24"/>
              </w:rPr>
              <w:t>1. Утвердить Методику «Ведение управленческого учета объектов имущества и объектов участия» в новой редакции (далее – Методика) согласно Приложению № 1 к настоящему решению.</w:t>
            </w:r>
          </w:p>
          <w:p w:rsidR="00E46D2C" w:rsidRPr="00E46D2C" w:rsidRDefault="00E46D2C" w:rsidP="00E46D2C">
            <w:pPr>
              <w:ind w:left="113" w:right="113" w:firstLine="709"/>
              <w:jc w:val="both"/>
              <w:rPr>
                <w:sz w:val="24"/>
                <w:szCs w:val="24"/>
              </w:rPr>
            </w:pPr>
            <w:r w:rsidRPr="00E46D2C">
              <w:rPr>
                <w:color w:val="000000"/>
                <w:sz w:val="24"/>
                <w:szCs w:val="24"/>
              </w:rPr>
              <w:t>2. Поручить Генеральному директору Общества обеспечить соблюдение сроков внесения информации в Автоматизированную информационную систему управления имущественным комплексом и корпоративного управления (раздел «Корпоративное управление»), предусмотренных Методикой.</w:t>
            </w:r>
          </w:p>
          <w:p w:rsidR="00F522DC" w:rsidRPr="00E46D2C" w:rsidRDefault="00E46D2C" w:rsidP="00E46D2C">
            <w:pPr>
              <w:ind w:left="113" w:right="113" w:firstLine="709"/>
              <w:jc w:val="both"/>
              <w:rPr>
                <w:sz w:val="24"/>
                <w:szCs w:val="24"/>
              </w:rPr>
            </w:pPr>
            <w:r w:rsidRPr="00E46D2C">
              <w:rPr>
                <w:color w:val="000000"/>
                <w:sz w:val="24"/>
                <w:szCs w:val="24"/>
              </w:rPr>
              <w:t>Срок: постоянно.</w:t>
            </w:r>
          </w:p>
          <w:p w:rsidR="00B37623" w:rsidRPr="00E46D2C" w:rsidRDefault="00B37623" w:rsidP="00E46D2C">
            <w:pPr>
              <w:autoSpaceDE/>
              <w:autoSpaceDN/>
              <w:ind w:left="113" w:right="113" w:firstLine="8"/>
              <w:jc w:val="both"/>
              <w:rPr>
                <w:b/>
                <w:sz w:val="24"/>
                <w:szCs w:val="24"/>
              </w:rPr>
            </w:pPr>
          </w:p>
          <w:p w:rsidR="001C7422" w:rsidRPr="00E46D2C" w:rsidRDefault="001C7422" w:rsidP="00E46D2C">
            <w:pPr>
              <w:autoSpaceDE/>
              <w:autoSpaceDN/>
              <w:ind w:left="113" w:right="113" w:firstLine="8"/>
              <w:jc w:val="both"/>
              <w:rPr>
                <w:b/>
                <w:i/>
                <w:sz w:val="24"/>
                <w:szCs w:val="24"/>
              </w:rPr>
            </w:pPr>
            <w:r w:rsidRPr="00E46D2C">
              <w:rPr>
                <w:sz w:val="24"/>
                <w:szCs w:val="24"/>
              </w:rPr>
              <w:t xml:space="preserve">2.4. Дата проведения заседания совета директоров (наблюдательного совета) эмитента, на котором приняты соответствующие решения: </w:t>
            </w:r>
            <w:r w:rsidR="00E46D2C">
              <w:rPr>
                <w:b/>
                <w:i/>
                <w:sz w:val="24"/>
                <w:szCs w:val="24"/>
              </w:rPr>
              <w:t>17 ноября</w:t>
            </w:r>
            <w:r w:rsidRPr="00E46D2C">
              <w:rPr>
                <w:b/>
                <w:i/>
                <w:sz w:val="24"/>
                <w:szCs w:val="24"/>
              </w:rPr>
              <w:t xml:space="preserve"> 2020 г.</w:t>
            </w:r>
          </w:p>
          <w:p w:rsidR="001C7422" w:rsidRPr="00E46D2C" w:rsidRDefault="001C7422" w:rsidP="00E46D2C">
            <w:pPr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</w:p>
          <w:p w:rsidR="001C7422" w:rsidRPr="00E46D2C" w:rsidRDefault="0035329A" w:rsidP="00E46D2C">
            <w:pPr>
              <w:pStyle w:val="a3"/>
              <w:autoSpaceDE/>
              <w:autoSpaceDN/>
              <w:ind w:left="113" w:right="113" w:firstLine="8"/>
              <w:jc w:val="both"/>
              <w:rPr>
                <w:b/>
                <w:i/>
                <w:sz w:val="24"/>
                <w:szCs w:val="24"/>
              </w:rPr>
            </w:pPr>
            <w:r w:rsidRPr="00E46D2C">
              <w:rPr>
                <w:sz w:val="24"/>
                <w:szCs w:val="24"/>
              </w:rPr>
              <w:t xml:space="preserve">2.5. </w:t>
            </w:r>
            <w:r w:rsidR="001C7422" w:rsidRPr="00E46D2C">
              <w:rPr>
                <w:sz w:val="24"/>
                <w:szCs w:val="24"/>
              </w:rPr>
              <w:t>Дата составления и номер протокола заседания совета директоров (наблюдательного совета) эмитента, на котором приняты соответствующие решения:</w:t>
            </w:r>
            <w:r w:rsidR="005132D3" w:rsidRPr="00E46D2C">
              <w:rPr>
                <w:sz w:val="24"/>
                <w:szCs w:val="24"/>
              </w:rPr>
              <w:t xml:space="preserve"> </w:t>
            </w:r>
            <w:r w:rsidR="001C7422" w:rsidRPr="00E46D2C">
              <w:rPr>
                <w:b/>
                <w:i/>
                <w:sz w:val="24"/>
                <w:szCs w:val="24"/>
              </w:rPr>
              <w:t>Протокол заседания Совета</w:t>
            </w:r>
            <w:r w:rsidR="00E46D2C">
              <w:rPr>
                <w:b/>
                <w:i/>
                <w:sz w:val="24"/>
                <w:szCs w:val="24"/>
              </w:rPr>
              <w:t xml:space="preserve"> директоров эмитента 17 ноября</w:t>
            </w:r>
            <w:r w:rsidR="0088648B" w:rsidRPr="00E46D2C">
              <w:rPr>
                <w:b/>
                <w:i/>
                <w:sz w:val="24"/>
                <w:szCs w:val="24"/>
              </w:rPr>
              <w:t xml:space="preserve"> 2020г</w:t>
            </w:r>
            <w:r w:rsidR="004D612F" w:rsidRPr="00E46D2C">
              <w:rPr>
                <w:b/>
                <w:i/>
                <w:sz w:val="24"/>
                <w:szCs w:val="24"/>
              </w:rPr>
              <w:t>.</w:t>
            </w:r>
            <w:r w:rsidR="004B4A65" w:rsidRPr="00E46D2C">
              <w:rPr>
                <w:b/>
                <w:i/>
                <w:sz w:val="24"/>
                <w:szCs w:val="24"/>
              </w:rPr>
              <w:t>,</w:t>
            </w:r>
            <w:r w:rsidR="0032553F" w:rsidRPr="00E46D2C">
              <w:rPr>
                <w:b/>
                <w:i/>
                <w:sz w:val="24"/>
                <w:szCs w:val="24"/>
              </w:rPr>
              <w:t xml:space="preserve"> №2</w:t>
            </w:r>
            <w:r w:rsidR="00E46D2C">
              <w:rPr>
                <w:b/>
                <w:i/>
                <w:sz w:val="24"/>
                <w:szCs w:val="24"/>
              </w:rPr>
              <w:t>70</w:t>
            </w:r>
            <w:r w:rsidR="001C7422" w:rsidRPr="00E46D2C">
              <w:rPr>
                <w:b/>
                <w:i/>
                <w:sz w:val="24"/>
                <w:szCs w:val="24"/>
              </w:rPr>
              <w:t>.</w:t>
            </w:r>
          </w:p>
          <w:p w:rsidR="00FA6824" w:rsidRPr="00E46D2C" w:rsidRDefault="00FA6824" w:rsidP="00E46D2C">
            <w:pPr>
              <w:pStyle w:val="a3"/>
              <w:tabs>
                <w:tab w:val="left" w:pos="254"/>
                <w:tab w:val="left" w:pos="396"/>
              </w:tabs>
              <w:ind w:left="113" w:right="113" w:firstLine="8"/>
              <w:jc w:val="both"/>
              <w:rPr>
                <w:sz w:val="24"/>
                <w:szCs w:val="24"/>
              </w:rPr>
            </w:pPr>
          </w:p>
          <w:p w:rsidR="001C7422" w:rsidRPr="00E46D2C" w:rsidRDefault="00FA6824" w:rsidP="00F97C62">
            <w:pPr>
              <w:pStyle w:val="a3"/>
              <w:tabs>
                <w:tab w:val="left" w:pos="254"/>
                <w:tab w:val="left" w:pos="396"/>
              </w:tabs>
              <w:ind w:left="113" w:right="113" w:firstLine="8"/>
              <w:jc w:val="both"/>
              <w:rPr>
                <w:sz w:val="24"/>
                <w:szCs w:val="24"/>
              </w:rPr>
            </w:pPr>
            <w:r w:rsidRPr="00E46D2C">
              <w:rPr>
                <w:sz w:val="24"/>
                <w:szCs w:val="24"/>
              </w:rPr>
              <w:t xml:space="preserve">2.6. Идентификационные признаки ценных бумаг эмитента (в случае если повестка дня заседания совета директоров (наблюдательного совета) эмитента содержит вопросы, связанные с осуществлением прав по определенным ценным бумагам эмитента): </w:t>
            </w:r>
            <w:r w:rsidRPr="00E46D2C">
              <w:rPr>
                <w:b/>
                <w:i/>
                <w:sz w:val="24"/>
                <w:szCs w:val="24"/>
              </w:rPr>
              <w:t>повестка дня заседания совета директоров не содержит вопросы, связанные с осуществлением прав по определенным ценным бумагам эмитента.</w:t>
            </w:r>
            <w:bookmarkStart w:id="0" w:name="_GoBack"/>
            <w:bookmarkEnd w:id="0"/>
          </w:p>
        </w:tc>
      </w:tr>
      <w:tr w:rsidR="001C7422" w:rsidRPr="007836C0" w:rsidTr="00CE5B83">
        <w:trPr>
          <w:cantSplit/>
        </w:trPr>
        <w:tc>
          <w:tcPr>
            <w:tcW w:w="9923" w:type="dxa"/>
            <w:gridSpan w:val="2"/>
          </w:tcPr>
          <w:p w:rsidR="001C7422" w:rsidRPr="00AE1D8E" w:rsidRDefault="001C7422" w:rsidP="00B37623">
            <w:pPr>
              <w:ind w:left="113" w:right="113" w:firstLine="8"/>
              <w:jc w:val="center"/>
              <w:rPr>
                <w:sz w:val="24"/>
                <w:szCs w:val="24"/>
              </w:rPr>
            </w:pPr>
          </w:p>
          <w:p w:rsidR="001C7422" w:rsidRPr="00AE1D8E" w:rsidRDefault="001C7422" w:rsidP="00B37623">
            <w:pPr>
              <w:ind w:left="113" w:right="113" w:firstLine="8"/>
              <w:jc w:val="center"/>
              <w:rPr>
                <w:sz w:val="24"/>
                <w:szCs w:val="24"/>
              </w:rPr>
            </w:pPr>
            <w:r w:rsidRPr="00AE1D8E">
              <w:rPr>
                <w:sz w:val="24"/>
                <w:szCs w:val="24"/>
              </w:rPr>
              <w:t>3.Подпись</w:t>
            </w:r>
          </w:p>
          <w:p w:rsidR="001C7422" w:rsidRPr="00AE1D8E" w:rsidRDefault="001C7422" w:rsidP="00B37623">
            <w:pPr>
              <w:ind w:left="113" w:right="113" w:firstLine="8"/>
              <w:jc w:val="center"/>
              <w:rPr>
                <w:sz w:val="24"/>
                <w:szCs w:val="24"/>
              </w:rPr>
            </w:pPr>
          </w:p>
        </w:tc>
      </w:tr>
      <w:tr w:rsidR="001C7422" w:rsidRPr="007836C0" w:rsidTr="00CE5B83">
        <w:trPr>
          <w:cantSplit/>
        </w:trPr>
        <w:tc>
          <w:tcPr>
            <w:tcW w:w="9923" w:type="dxa"/>
            <w:gridSpan w:val="2"/>
            <w:vAlign w:val="bottom"/>
          </w:tcPr>
          <w:p w:rsidR="001C7422" w:rsidRPr="00AE1D8E" w:rsidRDefault="001C7422" w:rsidP="00B37623">
            <w:pPr>
              <w:autoSpaceDE/>
              <w:autoSpaceDN/>
              <w:ind w:left="113" w:right="113" w:firstLine="8"/>
              <w:rPr>
                <w:sz w:val="24"/>
                <w:szCs w:val="24"/>
              </w:rPr>
            </w:pPr>
          </w:p>
          <w:p w:rsidR="00EA2408" w:rsidRDefault="008A15E5" w:rsidP="00B37623">
            <w:pPr>
              <w:autoSpaceDE/>
              <w:autoSpaceDN/>
              <w:ind w:left="113" w:right="113" w:firstLine="8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1C7422" w:rsidRPr="00AE1D8E">
              <w:rPr>
                <w:sz w:val="24"/>
                <w:szCs w:val="24"/>
              </w:rPr>
              <w:t xml:space="preserve"> </w:t>
            </w:r>
            <w:r w:rsidR="00EA2408" w:rsidRPr="00DA1237">
              <w:rPr>
                <w:sz w:val="24"/>
                <w:szCs w:val="24"/>
                <w:lang w:eastAsia="en-US"/>
              </w:rPr>
              <w:t>3.1.</w:t>
            </w:r>
            <w:r w:rsidR="00EA2408">
              <w:rPr>
                <w:b/>
                <w:i/>
                <w:sz w:val="24"/>
                <w:szCs w:val="24"/>
                <w:lang w:eastAsia="en-US"/>
              </w:rPr>
              <w:t xml:space="preserve"> Заместитель генерального директора </w:t>
            </w:r>
          </w:p>
          <w:p w:rsidR="00EA2408" w:rsidRDefault="00EA2408" w:rsidP="00B37623">
            <w:pPr>
              <w:autoSpaceDE/>
              <w:autoSpaceDN/>
              <w:ind w:left="113" w:right="113" w:firstLine="8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766552">
              <w:rPr>
                <w:b/>
                <w:i/>
                <w:sz w:val="24"/>
                <w:szCs w:val="24"/>
                <w:lang w:eastAsia="en-US"/>
              </w:rPr>
              <w:t>на основании доверенности от 12 мая 2020 г. №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76-с                                    </w:t>
            </w:r>
            <w:r w:rsidR="00795AD3">
              <w:rPr>
                <w:b/>
                <w:i/>
                <w:sz w:val="24"/>
                <w:szCs w:val="24"/>
                <w:lang w:eastAsia="en-US"/>
              </w:rPr>
              <w:t xml:space="preserve">      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И.А. Гордеев </w:t>
            </w:r>
          </w:p>
          <w:p w:rsidR="00EA2408" w:rsidRDefault="00EA2408" w:rsidP="00B37623">
            <w:pPr>
              <w:autoSpaceDE/>
              <w:autoSpaceDN/>
              <w:ind w:left="113" w:right="113" w:firstLine="8"/>
              <w:jc w:val="both"/>
              <w:rPr>
                <w:b/>
                <w:i/>
                <w:sz w:val="24"/>
                <w:szCs w:val="24"/>
                <w:lang w:eastAsia="en-US"/>
              </w:rPr>
            </w:pPr>
          </w:p>
          <w:p w:rsidR="001C7422" w:rsidRPr="00AE1D8E" w:rsidRDefault="001C7422" w:rsidP="00B37623">
            <w:pPr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  <w:r w:rsidRPr="00AE1D8E">
              <w:rPr>
                <w:sz w:val="24"/>
                <w:szCs w:val="24"/>
              </w:rPr>
              <w:t xml:space="preserve">3.2. </w:t>
            </w:r>
            <w:r w:rsidR="00900A8A">
              <w:rPr>
                <w:b/>
                <w:i/>
                <w:sz w:val="24"/>
                <w:szCs w:val="24"/>
              </w:rPr>
              <w:t xml:space="preserve">Дата: </w:t>
            </w:r>
            <w:r w:rsidR="00E46D2C">
              <w:rPr>
                <w:b/>
                <w:i/>
                <w:sz w:val="24"/>
                <w:szCs w:val="24"/>
              </w:rPr>
              <w:t>17 ноября</w:t>
            </w:r>
            <w:r w:rsidR="00C72ED7" w:rsidRPr="00AE1D8E">
              <w:rPr>
                <w:b/>
                <w:i/>
                <w:sz w:val="24"/>
                <w:szCs w:val="24"/>
              </w:rPr>
              <w:t xml:space="preserve"> </w:t>
            </w:r>
            <w:r w:rsidRPr="00AE1D8E">
              <w:rPr>
                <w:b/>
                <w:i/>
                <w:sz w:val="24"/>
                <w:szCs w:val="24"/>
              </w:rPr>
              <w:t xml:space="preserve">2020г.                               </w:t>
            </w:r>
            <w:r w:rsidRPr="00AE1D8E">
              <w:rPr>
                <w:sz w:val="24"/>
                <w:szCs w:val="24"/>
              </w:rPr>
              <w:t>М.П.</w:t>
            </w:r>
          </w:p>
          <w:p w:rsidR="001C7422" w:rsidRPr="00AE1D8E" w:rsidRDefault="001C7422" w:rsidP="003042D0">
            <w:pPr>
              <w:autoSpaceDE/>
              <w:autoSpaceDN/>
              <w:ind w:right="113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37305D" w:rsidRDefault="0037305D"/>
    <w:sectPr w:rsidR="0037305D" w:rsidSect="004B4A65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B17" w:rsidRDefault="00030B17" w:rsidP="004B4A65">
      <w:r>
        <w:separator/>
      </w:r>
    </w:p>
  </w:endnote>
  <w:endnote w:type="continuationSeparator" w:id="0">
    <w:p w:rsidR="00030B17" w:rsidRDefault="00030B17" w:rsidP="004B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B17" w:rsidRDefault="00030B17" w:rsidP="004B4A65">
      <w:r>
        <w:separator/>
      </w:r>
    </w:p>
  </w:footnote>
  <w:footnote w:type="continuationSeparator" w:id="0">
    <w:p w:rsidR="00030B17" w:rsidRDefault="00030B17" w:rsidP="004B4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3407059"/>
      <w:docPartObj>
        <w:docPartGallery w:val="Page Numbers (Top of Page)"/>
        <w:docPartUnique/>
      </w:docPartObj>
    </w:sdtPr>
    <w:sdtEndPr/>
    <w:sdtContent>
      <w:p w:rsidR="004B4A65" w:rsidRDefault="004B4A6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C62">
          <w:rPr>
            <w:noProof/>
          </w:rPr>
          <w:t>3</w:t>
        </w:r>
        <w:r>
          <w:fldChar w:fldCharType="end"/>
        </w:r>
      </w:p>
    </w:sdtContent>
  </w:sdt>
  <w:p w:rsidR="004B4A65" w:rsidRDefault="004B4A6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B789A"/>
    <w:multiLevelType w:val="hybridMultilevel"/>
    <w:tmpl w:val="ED4CFD2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0EB67EF1"/>
    <w:multiLevelType w:val="multilevel"/>
    <w:tmpl w:val="D174D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826207D"/>
    <w:multiLevelType w:val="multilevel"/>
    <w:tmpl w:val="D6EA577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cs="Times New Roman" w:hint="default"/>
      </w:rPr>
    </w:lvl>
  </w:abstractNum>
  <w:abstractNum w:abstractNumId="3" w15:restartNumberingAfterBreak="0">
    <w:nsid w:val="18BA5A92"/>
    <w:multiLevelType w:val="hybridMultilevel"/>
    <w:tmpl w:val="DDD00626"/>
    <w:lvl w:ilvl="0" w:tplc="A3A801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8D45CA"/>
    <w:multiLevelType w:val="multilevel"/>
    <w:tmpl w:val="3182A86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color w:val="000000"/>
        <w:sz w:val="28"/>
      </w:rPr>
    </w:lvl>
    <w:lvl w:ilvl="1">
      <w:start w:val="5"/>
      <w:numFmt w:val="decimal"/>
      <w:isLgl/>
      <w:lvlText w:val="%1.%2."/>
      <w:lvlJc w:val="left"/>
      <w:pPr>
        <w:ind w:left="1128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  <w:i w:val="0"/>
      </w:rPr>
    </w:lvl>
  </w:abstractNum>
  <w:abstractNum w:abstractNumId="5" w15:restartNumberingAfterBreak="0">
    <w:nsid w:val="2D3D2E8D"/>
    <w:multiLevelType w:val="multilevel"/>
    <w:tmpl w:val="3182A86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color w:val="000000"/>
        <w:sz w:val="28"/>
      </w:rPr>
    </w:lvl>
    <w:lvl w:ilvl="1">
      <w:start w:val="5"/>
      <w:numFmt w:val="decimal"/>
      <w:isLgl/>
      <w:lvlText w:val="%1.%2."/>
      <w:lvlJc w:val="left"/>
      <w:pPr>
        <w:ind w:left="1128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  <w:i w:val="0"/>
      </w:rPr>
    </w:lvl>
  </w:abstractNum>
  <w:abstractNum w:abstractNumId="6" w15:restartNumberingAfterBreak="0">
    <w:nsid w:val="301963DD"/>
    <w:multiLevelType w:val="multilevel"/>
    <w:tmpl w:val="B798F6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35EE17BA"/>
    <w:multiLevelType w:val="multilevel"/>
    <w:tmpl w:val="D238297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8" w15:restartNumberingAfterBreak="0">
    <w:nsid w:val="36510EDC"/>
    <w:multiLevelType w:val="multilevel"/>
    <w:tmpl w:val="2BB8956E"/>
    <w:lvl w:ilvl="0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01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6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3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3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6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2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57" w:hanging="1800"/>
      </w:pPr>
      <w:rPr>
        <w:rFonts w:cs="Times New Roman" w:hint="default"/>
      </w:rPr>
    </w:lvl>
  </w:abstractNum>
  <w:abstractNum w:abstractNumId="9" w15:restartNumberingAfterBreak="0">
    <w:nsid w:val="3CAC6063"/>
    <w:multiLevelType w:val="multilevel"/>
    <w:tmpl w:val="0950B4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 w15:restartNumberingAfterBreak="0">
    <w:nsid w:val="4B57001D"/>
    <w:multiLevelType w:val="multilevel"/>
    <w:tmpl w:val="DAC43FD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1" w15:restartNumberingAfterBreak="0">
    <w:nsid w:val="70511342"/>
    <w:multiLevelType w:val="multilevel"/>
    <w:tmpl w:val="EB1E73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76225983"/>
    <w:multiLevelType w:val="hybridMultilevel"/>
    <w:tmpl w:val="52A86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12"/>
  </w:num>
  <w:num w:numId="9">
    <w:abstractNumId w:val="3"/>
  </w:num>
  <w:num w:numId="10">
    <w:abstractNumId w:val="9"/>
  </w:num>
  <w:num w:numId="11">
    <w:abstractNumId w:val="6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22"/>
    <w:rsid w:val="00030B17"/>
    <w:rsid w:val="00051152"/>
    <w:rsid w:val="00053AF9"/>
    <w:rsid w:val="00095AF7"/>
    <w:rsid w:val="00096E06"/>
    <w:rsid w:val="000B581B"/>
    <w:rsid w:val="001879FE"/>
    <w:rsid w:val="001C7422"/>
    <w:rsid w:val="00245483"/>
    <w:rsid w:val="002B2A7F"/>
    <w:rsid w:val="002D2FE4"/>
    <w:rsid w:val="003042D0"/>
    <w:rsid w:val="0032553F"/>
    <w:rsid w:val="0035329A"/>
    <w:rsid w:val="0037305D"/>
    <w:rsid w:val="003C0966"/>
    <w:rsid w:val="004A0FD8"/>
    <w:rsid w:val="004B4A65"/>
    <w:rsid w:val="004D612F"/>
    <w:rsid w:val="004E1DEE"/>
    <w:rsid w:val="004E3887"/>
    <w:rsid w:val="004F77C3"/>
    <w:rsid w:val="005132D3"/>
    <w:rsid w:val="0054158B"/>
    <w:rsid w:val="00646A23"/>
    <w:rsid w:val="006762CA"/>
    <w:rsid w:val="006E205F"/>
    <w:rsid w:val="006F5FC9"/>
    <w:rsid w:val="00730FAF"/>
    <w:rsid w:val="00795AD3"/>
    <w:rsid w:val="007F0A72"/>
    <w:rsid w:val="00842F44"/>
    <w:rsid w:val="0088648B"/>
    <w:rsid w:val="008A15E5"/>
    <w:rsid w:val="008D0B62"/>
    <w:rsid w:val="00900A8A"/>
    <w:rsid w:val="00956B6A"/>
    <w:rsid w:val="009C3D07"/>
    <w:rsid w:val="00A665BD"/>
    <w:rsid w:val="00A75DE1"/>
    <w:rsid w:val="00A81FC7"/>
    <w:rsid w:val="00AE1D8E"/>
    <w:rsid w:val="00B37623"/>
    <w:rsid w:val="00B4750B"/>
    <w:rsid w:val="00B610BA"/>
    <w:rsid w:val="00B75CE3"/>
    <w:rsid w:val="00B921F9"/>
    <w:rsid w:val="00BF3516"/>
    <w:rsid w:val="00BF5D2A"/>
    <w:rsid w:val="00C72ED7"/>
    <w:rsid w:val="00CD4FCC"/>
    <w:rsid w:val="00CE5B83"/>
    <w:rsid w:val="00D2765F"/>
    <w:rsid w:val="00D41FEC"/>
    <w:rsid w:val="00DC10D5"/>
    <w:rsid w:val="00E265C4"/>
    <w:rsid w:val="00E46D2C"/>
    <w:rsid w:val="00E5056A"/>
    <w:rsid w:val="00E80CA9"/>
    <w:rsid w:val="00EA2408"/>
    <w:rsid w:val="00EF2FE8"/>
    <w:rsid w:val="00F522DC"/>
    <w:rsid w:val="00F56EAC"/>
    <w:rsid w:val="00F97C62"/>
    <w:rsid w:val="00FA6824"/>
    <w:rsid w:val="00FA6E12"/>
    <w:rsid w:val="00FB2C71"/>
    <w:rsid w:val="00FB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065C"/>
  <w15:chartTrackingRefBased/>
  <w15:docId w15:val="{C13B807B-22DC-49F9-B4C7-2B13625F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42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A682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824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rsid w:val="00FA682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2"/>
    <w:basedOn w:val="a"/>
    <w:link w:val="20"/>
    <w:unhideWhenUsed/>
    <w:rsid w:val="00A81FC7"/>
    <w:pPr>
      <w:autoSpaceDE/>
      <w:autoSpaceDN/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A81F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B4A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B4A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B4A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B4A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4A6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4A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33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aratovenerg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3B5B0-C57F-4421-A1A8-12B743BCC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ЮВ-Astron</dc:creator>
  <cp:keywords/>
  <dc:description/>
  <cp:lastModifiedBy>ЮВ-Astron</cp:lastModifiedBy>
  <cp:revision>7</cp:revision>
  <cp:lastPrinted>2020-09-04T11:39:00Z</cp:lastPrinted>
  <dcterms:created xsi:type="dcterms:W3CDTF">2020-11-18T04:38:00Z</dcterms:created>
  <dcterms:modified xsi:type="dcterms:W3CDTF">2020-11-18T04:43:00Z</dcterms:modified>
</cp:coreProperties>
</file>