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Liberation Serif" w:hAnsi="Liberation Serif" w:cs="Liberation Serif"/>
          <w:b/>
        </w:rPr>
        <w:t xml:space="preserve">Перечень документов для заключения договора купли-продажи (поставки) с сетевой организацией в целях компенсации потерь</w:t>
      </w:r>
      <w:r>
        <w:t xml:space="preserve">.</w:t>
      </w:r>
      <w:r/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5"/>
        <w:gridCol w:w="2032"/>
        <w:gridCol w:w="1563"/>
        <w:gridCol w:w="3592"/>
        <w:gridCol w:w="2190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№</w:t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vertAlign w:val="superscript"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Наименование документа</w:t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vertAlign w:val="superscript"/>
                <w:lang w:eastAsia="en-US"/>
              </w:rPr>
              <w:t xml:space="preserve">1, 2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Обязательность предоставления</w:t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п/п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</w:r>
          </w:p>
        </w:tc>
      </w:tr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Заявление о заключении соответствующего договора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, содержащее обязательные реквизиты потребителя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 xml:space="preserve">ЮЛ: полное наименование, основной государственный регистрационный номер и идентификационный номер налогоплательщика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Обязательно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Подписанный Заявителе</w:t>
            </w:r>
            <w:r>
              <w:rPr>
                <w:rFonts w:ascii="Liberation Serif" w:hAnsi="Liberation Serif" w:cs="Liberation Serif"/>
                <w:color w:val="000000"/>
              </w:rPr>
              <w:t xml:space="preserve">м проект договора 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центре очного обслуживания и (или) на своём сайте в сети "Интернет"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Предоставляется по желанию Заявителя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blPrEx/>
        <w:trPr>
          <w:trHeight w:val="4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Документы, подтверждающие полномочия лица на подписание договора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Протокол (решение, приказ) или выписка из протокола (решения, приказа) о назначении руководителя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Обязательно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Доверенность на подписание договора, если договор подписывает не руководитель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blPrEx/>
        <w:trPr>
          <w:trHeight w:val="12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Документы, содержащие описание границ балансо</w:t>
            </w:r>
            <w:r>
              <w:rPr>
                <w:rFonts w:ascii="Liberation Serif" w:hAnsi="Liberation Serif" w:cs="Liberation Serif"/>
                <w:color w:val="000000"/>
              </w:rPr>
              <w:t xml:space="preserve">вой принадлежности объектов электросетевого хозяйства Заявителя, в отношении которых он намеревается приобретать электрическую энергию (мощность) в целях компенсации потерь электрической энергии, а также сведения о приборах учёта, которыми они оборудованы.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Обязательно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r/>
      <w:r/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993" w:leader="none"/>
          <w:tab w:val="left" w:pos="1766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Документы, прилагаемые к заявлению о заключении договора, кроме проекта до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говора, подаются в виде копий, подписанных уполномоченным лицом Заявителя и заверенных печатью Заявителя (при наличии печати), если Заявителем является юридическое лицо, или подписанных гражданином, если Заявителем выступает индивидуальный предприниматель.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ind w:left="0" w:firstLine="709"/>
        <w:jc w:val="both"/>
        <w:tabs>
          <w:tab w:val="left" w:pos="993" w:leader="none"/>
          <w:tab w:val="left" w:pos="1766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ind w:left="0" w:right="0" w:firstLine="709"/>
        <w:jc w:val="both"/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 при подаче заявле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ния и документов в месте нахождения ПАО «Саратовэнерго» вправе представить неподписанные и незаверенные копии документов, прилагаемых к заявлению, с одновременным предъявлением оригиналов таких документов. В этом случае в момент принятия заявления и документов от Зая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вителя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обязано произвести сверку идентичности копий и оригиналов представленных документов, после чего на копиях таких документов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делаются отметки о соответствии подлинности копий документов оригиналам и оригиналы возвращаются Заявителю.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/>
    </w:p>
    <w:sectPr>
      <w:footnotePr/>
      <w:endnotePr/>
      <w:type w:val="nextPage"/>
      <w:pgSz w:w="11906" w:h="16838" w:orient="portrait"/>
      <w:pgMar w:top="567" w:right="425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2025-01-20T10:04:50Z</dcterms:modified>
</cp:coreProperties>
</file>