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62"/>
        <w:ind w:left="426" w:hanging="426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/>
      <w:bookmarkStart w:id="0" w:name="_Toc409514472"/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center"/>
        <w:spacing w:after="240"/>
        <w:rPr>
          <w:b/>
          <w:bCs/>
        </w:rPr>
      </w:pPr>
      <w:r>
        <w:rPr>
          <w:b/>
          <w:bCs/>
        </w:rPr>
        <w:t xml:space="preserve">ТЕХНИЧЕСКОЕ ЗАДАНИЕ (далее ТЗ)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240"/>
        <w:rPr>
          <w:b/>
          <w:bCs/>
        </w:rPr>
      </w:pPr>
      <w:r>
        <w:rPr>
          <w:b/>
        </w:rPr>
        <w:t xml:space="preserve">Оказание услуг по «Техническая поддержка ККТ и замен</w:t>
      </w:r>
      <w:r>
        <w:rPr>
          <w:b/>
        </w:rPr>
        <w:t xml:space="preserve">а</w:t>
      </w:r>
      <w:r>
        <w:rPr>
          <w:b/>
        </w:rPr>
        <w:t xml:space="preserve"> фискального накопителя» для нужд ПАО «Саратовэнерго».</w:t>
      </w:r>
      <w:r>
        <w:rPr>
          <w:b/>
          <w:bCs/>
        </w:rPr>
      </w:r>
      <w:r>
        <w:rPr>
          <w:b/>
          <w:bCs/>
        </w:rPr>
      </w:r>
    </w:p>
    <w:p>
      <w:pPr>
        <w:pStyle w:val="962"/>
        <w:ind w:left="0"/>
        <w:jc w:val="both"/>
        <w:spacing w:after="1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НАИМЕНОВАНИЕ РАБОТ (НОМЕНКЛАТУРА) И ПЕРЕЧЕНЬ ОБЪЕКТОВ, НА КОТОРЫХ БУДУТ ПРОВОДИТЬСЯ РАБОТЫ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962"/>
        <w:ind w:left="0" w:firstLine="709"/>
        <w:jc w:val="both"/>
        <w:spacing w:after="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Установка фискальных </w:t>
      </w:r>
      <w:r>
        <w:rPr>
          <w:rFonts w:ascii="Times New Roman" w:hAnsi="Times New Roman" w:cs="Times New Roman"/>
          <w:sz w:val="24"/>
          <w:szCs w:val="24"/>
        </w:rPr>
        <w:t xml:space="preserve">накопителей, проведение работ по обновлению программного обеспечения и оказание услуг по обслуживанию на контрольно-кассовой технике (далее - ККТ) осуществляется по адресу Заказчика: </w:t>
      </w:r>
      <w:r>
        <w:rPr>
          <w:rFonts w:ascii="Times New Roman" w:hAnsi="Times New Roman" w:eastAsia="Times New Roman" w:cs="Times New Roman"/>
          <w:bCs/>
          <w:sz w:val="24"/>
          <w:szCs w:val="20"/>
          <w:lang w:eastAsia="ru-RU"/>
        </w:rPr>
        <w:t xml:space="preserve">410002, обл. Саратовская, город Саратов, ул. им. Мичурина И.В, д. 166/168</w:t>
      </w:r>
      <w:r>
        <w:rPr>
          <w:rFonts w:ascii="Times New Roman" w:hAnsi="Times New Roman" w:eastAsia="Times New Roman" w:cs="Times New Roman"/>
          <w:bCs/>
          <w:sz w:val="24"/>
          <w:szCs w:val="20"/>
          <w:lang w:eastAsia="ru-RU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  <w:t xml:space="preserve"> (в случае </w:t>
      </w:r>
      <w:r>
        <w:rPr>
          <w:rFonts w:ascii="Times New Roman" w:hAnsi="Times New Roman" w:cs="Times New Roman"/>
          <w:sz w:val="24"/>
          <w:szCs w:val="24"/>
        </w:rPr>
        <w:t xml:space="preserve">не возможности</w:t>
      </w:r>
      <w:r>
        <w:rPr>
          <w:rFonts w:ascii="Times New Roman" w:hAnsi="Times New Roman" w:cs="Times New Roman"/>
          <w:sz w:val="24"/>
          <w:szCs w:val="24"/>
        </w:rPr>
        <w:t xml:space="preserve"> присутствия специалистов Исполнителя по адресу Заказчика, по предварительной договоренности с Заказчиком, все услуги, а именно установка фискальных накопителей, проведение работ по обновлению программного обеспечения и оказание у</w:t>
      </w:r>
      <w:r>
        <w:rPr>
          <w:rFonts w:ascii="Times New Roman" w:hAnsi="Times New Roman" w:cs="Times New Roman"/>
          <w:sz w:val="24"/>
          <w:szCs w:val="24"/>
        </w:rPr>
        <w:t xml:space="preserve">слуг по обслуживанию оказываются в офисе Исполнителя, а доставка ККТ до офиса Исполнителя осуществляется силами и за счет Исполнителя).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160"/>
        <w:rPr>
          <w:b/>
        </w:rPr>
      </w:pPr>
      <w:r>
        <w:rPr>
          <w:b/>
        </w:rPr>
        <w:t xml:space="preserve">2. ОБЩИЕ ТРЕБОВАНИЯ</w:t>
      </w:r>
      <w:r>
        <w:rPr>
          <w:b/>
        </w:rPr>
      </w:r>
      <w:r>
        <w:rPr>
          <w:b/>
        </w:rPr>
      </w:r>
    </w:p>
    <w:p>
      <w:pPr>
        <w:ind w:left="708"/>
        <w:jc w:val="both"/>
        <w:spacing w:after="160"/>
        <w:rPr>
          <w:b/>
        </w:rPr>
      </w:pPr>
      <w:r>
        <w:rPr>
          <w:b/>
        </w:rPr>
        <w:t xml:space="preserve">2.1. Основание для оказания услуг</w:t>
      </w:r>
      <w:r>
        <w:rPr>
          <w:b/>
        </w:rPr>
      </w:r>
      <w:r>
        <w:rPr>
          <w:b/>
        </w:rPr>
      </w:r>
    </w:p>
    <w:p>
      <w:pPr>
        <w:ind w:firstLine="709"/>
        <w:jc w:val="both"/>
        <w:spacing w:after="160"/>
      </w:pPr>
      <w:r>
        <w:t xml:space="preserve">В связи с требованиями ФНС РФ замена фискального накопителя на ККТ</w:t>
      </w:r>
      <w:r>
        <w:t xml:space="preserve"> должна производиться не реже 12 месяцев в календарный год.</w:t>
      </w:r>
      <w:r/>
    </w:p>
    <w:p>
      <w:pPr>
        <w:ind w:left="708"/>
        <w:jc w:val="both"/>
        <w:spacing w:after="160"/>
        <w:rPr>
          <w:b/>
        </w:rPr>
      </w:pPr>
      <w:r>
        <w:rPr>
          <w:b/>
        </w:rPr>
        <w:t xml:space="preserve">2.2. Требования к срокам оказания услуг</w:t>
      </w:r>
      <w:r>
        <w:rPr>
          <w:b/>
        </w:rPr>
      </w:r>
      <w:r>
        <w:rPr>
          <w:b/>
        </w:rPr>
      </w:r>
    </w:p>
    <w:p>
      <w:pPr>
        <w:ind w:firstLine="708"/>
        <w:jc w:val="both"/>
        <w:spacing w:line="0" w:lineRule="atLeast"/>
      </w:pPr>
      <w:r>
        <w:t xml:space="preserve">Начало оказания услуг: </w:t>
      </w:r>
      <w:r>
        <w:t xml:space="preserve">сентябрь</w:t>
      </w:r>
      <w:r>
        <w:t xml:space="preserve"> 202</w:t>
      </w:r>
      <w:r>
        <w:t xml:space="preserve">6</w:t>
      </w:r>
      <w:r>
        <w:t xml:space="preserve"> г.</w:t>
      </w:r>
      <w:r/>
    </w:p>
    <w:p>
      <w:pPr>
        <w:ind w:firstLine="708"/>
        <w:jc w:val="both"/>
        <w:spacing w:line="0" w:lineRule="atLeast"/>
      </w:pPr>
      <w:r>
        <w:t xml:space="preserve">Окончание оказания услуг: август 2027 г.</w:t>
      </w:r>
      <w:r/>
    </w:p>
    <w:p>
      <w:pPr>
        <w:ind w:left="708"/>
        <w:jc w:val="both"/>
        <w:spacing w:after="160"/>
        <w:rPr>
          <w:b/>
        </w:rPr>
      </w:pPr>
      <w:r>
        <w:rPr>
          <w:b/>
        </w:rPr>
        <w:t xml:space="preserve">2.3. Нормативные требования к оказанию услуг</w:t>
      </w:r>
      <w:r>
        <w:rPr>
          <w:b/>
        </w:rPr>
      </w:r>
      <w:r>
        <w:rPr>
          <w:b/>
        </w:rPr>
      </w:r>
    </w:p>
    <w:p>
      <w:pPr>
        <w:pStyle w:val="962"/>
        <w:ind w:left="1134" w:hanging="425"/>
        <w:jc w:val="both"/>
        <w:spacing w:after="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предъявляются.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160"/>
        <w:rPr>
          <w:b/>
        </w:rPr>
      </w:pPr>
      <w:r>
        <w:rPr>
          <w:b/>
        </w:rPr>
        <w:t xml:space="preserve">3. ТРЕБОВАНИЯ К ОКА</w:t>
      </w:r>
      <w:r>
        <w:rPr>
          <w:b/>
        </w:rPr>
        <w:t xml:space="preserve">ЗАНИЮ УСЛУГ</w:t>
      </w:r>
      <w:r>
        <w:rPr>
          <w:b/>
        </w:rPr>
      </w:r>
      <w:r>
        <w:rPr>
          <w:b/>
        </w:rPr>
      </w:r>
    </w:p>
    <w:p>
      <w:pPr>
        <w:ind w:left="708"/>
        <w:jc w:val="both"/>
        <w:spacing w:after="160"/>
        <w:rPr>
          <w:b/>
        </w:rPr>
      </w:pPr>
      <w:r>
        <w:rPr>
          <w:b/>
        </w:rPr>
        <w:t xml:space="preserve">3.1. Объем услуг</w:t>
      </w:r>
      <w:r>
        <w:rPr>
          <w:b/>
        </w:rPr>
      </w:r>
      <w:r>
        <w:rPr>
          <w:b/>
        </w:rPr>
      </w:r>
    </w:p>
    <w:p>
      <w:pPr>
        <w:pStyle w:val="962"/>
        <w:ind w:left="0" w:firstLine="708"/>
        <w:jc w:val="both"/>
        <w:spacing w:after="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перечнем, указанным в перечне работ и услуг (Приложение №1 к настоящему ТЗ).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708"/>
        <w:jc w:val="both"/>
        <w:spacing w:after="160"/>
        <w:rPr>
          <w:b/>
        </w:rPr>
      </w:pPr>
      <w:r>
        <w:rPr>
          <w:b/>
        </w:rPr>
        <w:t xml:space="preserve">3.2. Требования к последовательности этапов оказания услуг</w:t>
      </w:r>
      <w:r>
        <w:rPr>
          <w:b/>
        </w:rPr>
      </w:r>
      <w:r>
        <w:rPr>
          <w:b/>
        </w:rPr>
      </w:r>
    </w:p>
    <w:p>
      <w:pPr>
        <w:pStyle w:val="962"/>
        <w:ind w:left="0" w:firstLine="708"/>
        <w:jc w:val="both"/>
        <w:spacing w:after="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 после получения от Заказчика фискальных накопителей и ККТ </w:t>
      </w:r>
      <w:r>
        <w:rPr>
          <w:rFonts w:ascii="Times New Roman" w:hAnsi="Times New Roman" w:cs="Times New Roman"/>
          <w:sz w:val="24"/>
          <w:szCs w:val="24"/>
        </w:rPr>
        <w:t xml:space="preserve">в течении 5 (пяти) рабочих дней приступает к их замене на ККТ Заказчика,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проведению работ по обновлению программного обеспечения и оказание услуг по обслуживанию, подключает ККТ к сервису ОФД (Обработка фискальных данных в СБИС в течении 12 месяцев). В слу</w:t>
      </w:r>
      <w:r>
        <w:rPr>
          <w:rFonts w:ascii="Times New Roman" w:hAnsi="Times New Roman" w:cs="Times New Roman"/>
          <w:sz w:val="24"/>
          <w:szCs w:val="24"/>
        </w:rPr>
        <w:t xml:space="preserve">чае </w:t>
      </w:r>
      <w:r>
        <w:rPr>
          <w:rFonts w:ascii="Times New Roman" w:hAnsi="Times New Roman" w:cs="Times New Roman"/>
          <w:sz w:val="24"/>
          <w:szCs w:val="24"/>
        </w:rPr>
        <w:t xml:space="preserve">не возможности</w:t>
      </w:r>
      <w:r>
        <w:rPr>
          <w:rFonts w:ascii="Times New Roman" w:hAnsi="Times New Roman" w:cs="Times New Roman"/>
          <w:sz w:val="24"/>
          <w:szCs w:val="24"/>
        </w:rPr>
        <w:t xml:space="preserve"> присутствия специалистов Исполнителя по адресу Заказчика, по предварительной договоренности с Заказчиком, все услуги, а именно установка фискальных накопителей, проведение работ по обновлению программного обеспечения и оказание услуг по </w:t>
      </w:r>
      <w:r>
        <w:rPr>
          <w:rFonts w:ascii="Times New Roman" w:hAnsi="Times New Roman" w:cs="Times New Roman"/>
          <w:sz w:val="24"/>
          <w:szCs w:val="24"/>
        </w:rPr>
        <w:t xml:space="preserve">обслуживанию оказываются в офисе Исполнителя, а доставка ККТ до офиса Исполнителя осуществляется силами и за счет Исполнителя).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708"/>
        <w:jc w:val="both"/>
        <w:spacing w:after="160"/>
        <w:rPr>
          <w:b/>
        </w:rPr>
      </w:pPr>
      <w:r>
        <w:rPr>
          <w:b/>
        </w:rPr>
        <w:t xml:space="preserve">3.3. Требования к организации оказания услуг</w:t>
      </w:r>
      <w:r>
        <w:rPr>
          <w:b/>
        </w:rPr>
      </w:r>
      <w:r>
        <w:rPr>
          <w:b/>
        </w:rPr>
      </w:r>
    </w:p>
    <w:p>
      <w:pPr>
        <w:pStyle w:val="962"/>
        <w:ind w:left="0" w:firstLine="708"/>
        <w:jc w:val="both"/>
        <w:spacing w:after="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Оказание услуг/работ по техническому обслуживанию представляет собой работы по устр</w:t>
      </w:r>
      <w:r>
        <w:rPr>
          <w:rFonts w:ascii="Times New Roman" w:hAnsi="Times New Roman" w:cs="Times New Roman"/>
          <w:sz w:val="24"/>
          <w:szCs w:val="24"/>
        </w:rPr>
        <w:t xml:space="preserve">анению следующих неполадок в работе ККТ: бледная печать (не связанная с нарушением правил эксплуатации), отсутствие индикации при включении, посторонний шум во время </w:t>
      </w:r>
      <w:r>
        <w:rPr>
          <w:rFonts w:ascii="Times New Roman" w:hAnsi="Times New Roman" w:cs="Times New Roman"/>
          <w:sz w:val="24"/>
          <w:szCs w:val="24"/>
        </w:rPr>
        <w:t xml:space="preserve">работы, отказ работы оборудования (в стоимость услуг должны быть включены все узлы и детал</w:t>
      </w:r>
      <w:r>
        <w:rPr>
          <w:rFonts w:ascii="Times New Roman" w:hAnsi="Times New Roman" w:cs="Times New Roman"/>
          <w:sz w:val="24"/>
          <w:szCs w:val="24"/>
        </w:rPr>
        <w:t xml:space="preserve">и необходимые для устранения неполадок).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62"/>
        <w:ind w:left="0" w:firstLine="708"/>
        <w:jc w:val="both"/>
        <w:spacing w:after="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Работы по обновлению ПО ККТ выполняются по мере выхода новых версий ПО от производителя, в рамках Договора (в стоимость работ должны быть включены все расходы, связанные с приобретением программного обеспечения необ</w:t>
      </w:r>
      <w:r>
        <w:rPr>
          <w:rFonts w:ascii="Times New Roman" w:hAnsi="Times New Roman" w:cs="Times New Roman"/>
          <w:sz w:val="24"/>
          <w:szCs w:val="24"/>
        </w:rPr>
        <w:t xml:space="preserve">ходимого для обновления).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62"/>
        <w:ind w:left="0" w:firstLine="708"/>
        <w:jc w:val="both"/>
        <w:spacing w:after="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 закупки должен иметь контракт/договор/сертификат с производителем (</w:t>
      </w:r>
      <w:r>
        <w:rPr>
          <w:rFonts w:ascii="Times New Roman" w:hAnsi="Times New Roman" w:cs="Times New Roman"/>
          <w:sz w:val="24"/>
          <w:szCs w:val="24"/>
        </w:rPr>
        <w:t xml:space="preserve">Атол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Эвотор</w:t>
      </w:r>
      <w:r>
        <w:rPr>
          <w:rFonts w:ascii="Times New Roman" w:hAnsi="Times New Roman" w:cs="Times New Roman"/>
          <w:sz w:val="24"/>
          <w:szCs w:val="24"/>
        </w:rPr>
        <w:t xml:space="preserve">) указанным в перечне работ и услуг (Приложение №1 к настоящему ТЗ) на сервисное обслуживание оборудования (подтвердить документально).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62"/>
        <w:ind w:left="0" w:firstLine="708"/>
        <w:jc w:val="both"/>
        <w:spacing w:after="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</w:t>
      </w:r>
      <w:r>
        <w:rPr>
          <w:rFonts w:ascii="Times New Roman" w:hAnsi="Times New Roman" w:cs="Times New Roman"/>
          <w:sz w:val="24"/>
          <w:szCs w:val="24"/>
        </w:rPr>
        <w:t xml:space="preserve">учае отсутствия, на момент подачи заявки, у Участника закупки контракта/договора/сертификата с производителем (</w:t>
      </w:r>
      <w:r>
        <w:rPr>
          <w:rFonts w:ascii="Times New Roman" w:hAnsi="Times New Roman" w:cs="Times New Roman"/>
          <w:sz w:val="24"/>
          <w:szCs w:val="24"/>
        </w:rPr>
        <w:t xml:space="preserve">Атол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Эвотор</w:t>
      </w:r>
      <w:r>
        <w:rPr>
          <w:rFonts w:ascii="Times New Roman" w:hAnsi="Times New Roman" w:cs="Times New Roman"/>
          <w:sz w:val="24"/>
          <w:szCs w:val="24"/>
        </w:rPr>
        <w:t xml:space="preserve">) указанным в перечне работ и услуг (Приложение №1 к настоящему ТЗ) на сервисное обслуживание оборудования, Участник закупки предоста</w:t>
      </w:r>
      <w:r>
        <w:rPr>
          <w:rFonts w:ascii="Times New Roman" w:hAnsi="Times New Roman" w:cs="Times New Roman"/>
          <w:sz w:val="24"/>
          <w:szCs w:val="24"/>
        </w:rPr>
        <w:t xml:space="preserve">вляет гарантийное письмо о заключении (предоставлении) контракта/договора/сертификата к моменту начала оказания услуг.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708"/>
        <w:jc w:val="both"/>
        <w:spacing w:after="160"/>
        <w:rPr>
          <w:b/>
        </w:rPr>
      </w:pPr>
      <w:r>
        <w:rPr>
          <w:b/>
        </w:rPr>
        <w:t xml:space="preserve">3.4. Требования к применяемым материалам и оборудованию</w:t>
      </w:r>
      <w:r>
        <w:rPr>
          <w:b/>
        </w:rPr>
      </w:r>
      <w:r>
        <w:rPr>
          <w:b/>
        </w:rPr>
      </w:r>
    </w:p>
    <w:p>
      <w:pPr>
        <w:pStyle w:val="962"/>
        <w:ind w:left="0" w:firstLine="708"/>
        <w:jc w:val="both"/>
        <w:spacing w:after="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предъявляются.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708"/>
        <w:jc w:val="both"/>
        <w:spacing w:after="160"/>
        <w:rPr>
          <w:b/>
        </w:rPr>
      </w:pPr>
      <w:r>
        <w:rPr>
          <w:b/>
        </w:rPr>
        <w:t xml:space="preserve">3.5. Требования безопасности</w:t>
      </w:r>
      <w:r>
        <w:rPr>
          <w:b/>
        </w:rPr>
      </w:r>
      <w:r>
        <w:rPr>
          <w:b/>
        </w:rPr>
      </w:r>
    </w:p>
    <w:p>
      <w:pPr>
        <w:pStyle w:val="962"/>
        <w:ind w:left="0" w:firstLine="708"/>
        <w:jc w:val="both"/>
        <w:spacing w:after="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предъявляются.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708"/>
        <w:jc w:val="both"/>
        <w:spacing w:after="160"/>
        <w:tabs>
          <w:tab w:val="left" w:pos="5985" w:leader="none"/>
        </w:tabs>
        <w:rPr>
          <w:b/>
        </w:rPr>
      </w:pPr>
      <w:r>
        <w:rPr>
          <w:b/>
        </w:rPr>
        <w:t xml:space="preserve">3.6</w:t>
      </w:r>
      <w:r>
        <w:rPr>
          <w:b/>
        </w:rPr>
        <w:t xml:space="preserve">. Требования к гарантийным обязательствам</w:t>
      </w:r>
      <w:r>
        <w:rPr>
          <w:b/>
        </w:rPr>
        <w:tab/>
      </w:r>
      <w:r>
        <w:rPr>
          <w:b/>
        </w:rPr>
      </w:r>
      <w:r>
        <w:rPr>
          <w:b/>
        </w:rPr>
      </w:r>
    </w:p>
    <w:p>
      <w:pPr>
        <w:pStyle w:val="962"/>
        <w:ind w:left="0" w:firstLine="708"/>
        <w:jc w:val="both"/>
        <w:spacing w:after="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Фискальные накопители меняются раз в календарный год с пломбированием аппарата (ККТ) обслуживающей организацией (после согласования сроков замены с Заказчиком).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160"/>
      </w:pPr>
      <w:r/>
      <w:r/>
    </w:p>
    <w:p>
      <w:pPr>
        <w:ind w:left="708"/>
        <w:jc w:val="both"/>
        <w:spacing w:after="160"/>
        <w:rPr>
          <w:b/>
        </w:rPr>
      </w:pPr>
      <w:r>
        <w:rPr>
          <w:b/>
        </w:rPr>
        <w:t xml:space="preserve">3.7. Ответственность исполнителя </w:t>
      </w:r>
      <w:r>
        <w:rPr>
          <w:b/>
        </w:rPr>
      </w:r>
      <w:r>
        <w:rPr>
          <w:b/>
        </w:rPr>
      </w:r>
    </w:p>
    <w:p>
      <w:pPr>
        <w:pStyle w:val="962"/>
        <w:ind w:left="0" w:firstLine="708"/>
        <w:jc w:val="both"/>
        <w:spacing w:after="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неисполнение и</w:t>
      </w:r>
      <w:r>
        <w:rPr>
          <w:rFonts w:ascii="Times New Roman" w:hAnsi="Times New Roman" w:cs="Times New Roman"/>
          <w:sz w:val="24"/>
          <w:szCs w:val="24"/>
        </w:rPr>
        <w:t xml:space="preserve">ли ненадлежащее исполнение обязательств по Договору, несоблюдение конфиденциальности информации Исполнитель несет ответственность в соответствии с законодательством Российской Федерации и в соответствии с разделом 6 проекта договора.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160"/>
        <w:rPr>
          <w:b/>
        </w:rPr>
      </w:pPr>
      <w:r>
        <w:rPr>
          <w:b/>
        </w:rPr>
        <w:t xml:space="preserve">4. ТРЕБОВАНИЯ К ПОРЯДК</w:t>
      </w:r>
      <w:r>
        <w:rPr>
          <w:b/>
        </w:rPr>
        <w:t xml:space="preserve">У ФОРМИРОВАНИЯ КОММЕРЧЕСКОГО ПРЕДЛОЖЕНИЯ УЧАСТНИКА ЗАКУПКИ, ОБОСНОВАНИЮ ЦЕНЫ, РАСЧЕТОВ</w:t>
      </w:r>
      <w:r>
        <w:rPr>
          <w:b/>
        </w:rPr>
      </w:r>
      <w:r>
        <w:rPr>
          <w:b/>
        </w:rPr>
      </w:r>
    </w:p>
    <w:p>
      <w:pPr>
        <w:pStyle w:val="962"/>
        <w:ind w:left="0" w:firstLine="708"/>
        <w:jc w:val="both"/>
        <w:spacing w:after="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Цена заявки на участие в закупке должна включать в себя все расходы и риски, связанные с выполнением Работ на условиях, определенных в договоре. При этом в цену заявки н</w:t>
      </w:r>
      <w:r>
        <w:rPr>
          <w:rFonts w:ascii="Times New Roman" w:hAnsi="Times New Roman" w:cs="Times New Roman"/>
          <w:sz w:val="24"/>
          <w:szCs w:val="24"/>
        </w:rPr>
        <w:t xml:space="preserve">а участие в закупке включаются любые сборы и пошлины, расходы и риски, связанные с выполнением договора, в </w:t>
      </w:r>
      <w:r>
        <w:rPr>
          <w:rFonts w:ascii="Times New Roman" w:hAnsi="Times New Roman" w:cs="Times New Roman"/>
          <w:sz w:val="24"/>
          <w:szCs w:val="24"/>
        </w:rPr>
        <w:t xml:space="preserve">т.ч</w:t>
      </w:r>
      <w:r>
        <w:rPr>
          <w:rFonts w:ascii="Times New Roman" w:hAnsi="Times New Roman" w:cs="Times New Roman"/>
          <w:sz w:val="24"/>
          <w:szCs w:val="24"/>
        </w:rPr>
        <w:t xml:space="preserve">. гарантийного срока эксплуатации и другие затраты.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62"/>
        <w:ind w:left="0" w:firstLine="708"/>
        <w:jc w:val="both"/>
        <w:spacing w:after="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 закупки в своей заявке на участие в закупке устанавливает цену заявки, которая являе</w:t>
      </w:r>
      <w:r>
        <w:rPr>
          <w:rFonts w:ascii="Times New Roman" w:hAnsi="Times New Roman" w:cs="Times New Roman"/>
          <w:sz w:val="24"/>
          <w:szCs w:val="24"/>
        </w:rPr>
        <w:t xml:space="preserve">тся твердой (фиксированной), и включает учет инфляции и иных финансовых рисков на весь период действия договора. Корректировка цены договора в связи с инфляцией и изменением курсов валют в период действия договора не производится.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62"/>
        <w:ind w:left="0" w:firstLine="708"/>
        <w:jc w:val="both"/>
        <w:spacing w:after="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и наименование</w:t>
      </w:r>
      <w:r>
        <w:rPr>
          <w:rFonts w:ascii="Times New Roman" w:hAnsi="Times New Roman" w:cs="Times New Roman"/>
          <w:sz w:val="24"/>
          <w:szCs w:val="24"/>
        </w:rPr>
        <w:t xml:space="preserve"> услуг и работ указанное в приложении №1 к настоящему ТЗ окончательное и не подлежит изменению.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62"/>
        <w:ind w:left="0" w:firstLine="709"/>
        <w:jc w:val="both"/>
        <w:spacing w:after="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 закупки в своей заявке на участие в закупке устанавливает цену заявки, указывая единичную расценку по каждой услуге (указанной в приложении №1 к настоя</w:t>
      </w:r>
      <w:r>
        <w:rPr>
          <w:rFonts w:ascii="Times New Roman" w:hAnsi="Times New Roman" w:cs="Times New Roman"/>
          <w:sz w:val="24"/>
          <w:szCs w:val="24"/>
        </w:rPr>
        <w:t xml:space="preserve">щему ТЗ).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62"/>
        <w:ind w:left="0" w:firstLine="709"/>
        <w:jc w:val="both"/>
        <w:spacing w:after="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Оплата по Договору производится в полном размере, в срок не более 7 (семи) рабочих дней с даты проведения работ/оказания услуг (подписания Акта сдачи-приёмки проведенных работ/услуг).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160"/>
        <w:rPr>
          <w:b/>
        </w:rPr>
      </w:pPr>
      <w:r>
        <w:rPr>
          <w:b/>
        </w:rPr>
        <w:t xml:space="preserve">5. ТРЕБОВАНИЯ К УЧАСТНИКАМ ЗАКУПКИ (ИСПОЛНИТЕЛЯМ)</w:t>
      </w:r>
      <w:r>
        <w:rPr>
          <w:b/>
        </w:rPr>
      </w:r>
      <w:r>
        <w:rPr>
          <w:b/>
        </w:rPr>
      </w:r>
    </w:p>
    <w:p>
      <w:pPr>
        <w:ind w:left="709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5.1. Требования о наличии кадровых ресурсов и их квалификации </w:t>
      </w:r>
      <w:r>
        <w:rPr>
          <w:rFonts w:eastAsiaTheme="minorHAnsi"/>
          <w:b/>
          <w:lang w:eastAsia="en-US"/>
        </w:rPr>
      </w:r>
      <w:r>
        <w:rPr>
          <w:rFonts w:eastAsiaTheme="minorHAnsi"/>
          <w:b/>
          <w:lang w:eastAsia="en-US"/>
        </w:rPr>
      </w:r>
    </w:p>
    <w:p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Персонал Участника закупки, выполняющий </w:t>
      </w:r>
      <w:r>
        <w:t xml:space="preserve">единовременные работы по установке фискального накопителя, и обновлению кассового ПО, </w:t>
      </w:r>
      <w:r>
        <w:rPr>
          <w:rFonts w:eastAsia="Calibri"/>
        </w:rPr>
        <w:t xml:space="preserve">должен иметь соответствующую квалификацию, иметь опыт по установке </w:t>
      </w:r>
      <w:r>
        <w:rPr>
          <w:rFonts w:eastAsia="Calibri"/>
        </w:rPr>
        <w:t xml:space="preserve">кассового ПО и фискального накопителя.</w:t>
      </w:r>
      <w:r>
        <w:rPr>
          <w:rFonts w:eastAsia="Calibri"/>
        </w:rPr>
      </w:r>
      <w:r>
        <w:rPr>
          <w:rFonts w:eastAsia="Calibri"/>
        </w:rPr>
      </w:r>
    </w:p>
    <w:p>
      <w:pPr>
        <w:ind w:left="709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</w:r>
      <w:r>
        <w:rPr>
          <w:rFonts w:eastAsiaTheme="minorHAnsi"/>
          <w:b/>
          <w:lang w:eastAsia="en-US"/>
        </w:rPr>
      </w:r>
      <w:r>
        <w:rPr>
          <w:rFonts w:eastAsiaTheme="minorHAnsi"/>
          <w:b/>
          <w:lang w:eastAsia="en-US"/>
        </w:rPr>
      </w:r>
    </w:p>
    <w:p>
      <w:pPr>
        <w:ind w:left="708"/>
        <w:jc w:val="both"/>
        <w:spacing w:after="16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5.2. Требования о наличии материально-технических ресурсов </w:t>
      </w:r>
      <w:r>
        <w:rPr>
          <w:rFonts w:eastAsiaTheme="minorHAnsi"/>
          <w:b/>
          <w:lang w:eastAsia="en-US"/>
        </w:rPr>
      </w:r>
      <w:r>
        <w:rPr>
          <w:rFonts w:eastAsiaTheme="minorHAnsi"/>
          <w:b/>
          <w:lang w:eastAsia="en-US"/>
        </w:rPr>
      </w:r>
    </w:p>
    <w:p>
      <w:pPr>
        <w:pStyle w:val="962"/>
        <w:ind w:left="0" w:firstLine="708"/>
        <w:jc w:val="both"/>
        <w:spacing w:after="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предъявляются.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708"/>
        <w:jc w:val="both"/>
        <w:spacing w:after="16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5.3. Требования к измерительным приборам и инструментам</w:t>
      </w:r>
      <w:r>
        <w:rPr>
          <w:rFonts w:eastAsiaTheme="minorHAnsi"/>
          <w:b/>
          <w:lang w:eastAsia="en-US"/>
        </w:rPr>
      </w:r>
      <w:r>
        <w:rPr>
          <w:rFonts w:eastAsiaTheme="minorHAnsi"/>
          <w:b/>
          <w:lang w:eastAsia="en-US"/>
        </w:rPr>
      </w:r>
    </w:p>
    <w:p>
      <w:pPr>
        <w:pStyle w:val="962"/>
        <w:ind w:left="0" w:firstLine="708"/>
        <w:jc w:val="both"/>
        <w:spacing w:after="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предъявляются.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708"/>
        <w:jc w:val="both"/>
        <w:spacing w:after="16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5.4. Требования о наличии действующих разрешений, аттестаций, св</w:t>
      </w:r>
      <w:r>
        <w:rPr>
          <w:rFonts w:eastAsiaTheme="minorHAnsi"/>
          <w:b/>
          <w:lang w:eastAsia="en-US"/>
        </w:rPr>
        <w:t xml:space="preserve">идетельств СРО, лицензий</w:t>
      </w:r>
      <w:r>
        <w:rPr>
          <w:rFonts w:eastAsiaTheme="minorHAnsi"/>
          <w:b/>
          <w:lang w:eastAsia="en-US"/>
        </w:rPr>
      </w:r>
      <w:r>
        <w:rPr>
          <w:rFonts w:eastAsiaTheme="minorHAnsi"/>
          <w:b/>
          <w:lang w:eastAsia="en-US"/>
        </w:rPr>
      </w:r>
    </w:p>
    <w:p>
      <w:pPr>
        <w:ind w:firstLine="708"/>
        <w:jc w:val="both"/>
      </w:pPr>
      <w:r>
        <w:t xml:space="preserve">Участники закупки должны обладать, документально подтвержденными, правами и разрешениями:</w:t>
      </w:r>
      <w:r/>
    </w:p>
    <w:p>
      <w:pPr>
        <w:ind w:firstLine="708"/>
        <w:jc w:val="both"/>
      </w:pPr>
      <w:r>
        <w:t xml:space="preserve">- оператора электронного документооборота по передачи отчетности в государственные органы в электронном виде по телекоммуникационным каналам </w:t>
      </w:r>
      <w:r>
        <w:t xml:space="preserve">связи в соответствии с п.3 статьи 80 Налогового кодекса Российской Федерации или иметь соглашение с таким оператором связи.</w:t>
      </w:r>
      <w:r/>
    </w:p>
    <w:p>
      <w:pPr>
        <w:ind w:firstLine="708"/>
        <w:jc w:val="both"/>
      </w:pPr>
      <w:r/>
      <w:r/>
    </w:p>
    <w:p>
      <w:pPr>
        <w:ind w:left="708"/>
        <w:jc w:val="both"/>
        <w:spacing w:after="16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5.5. Требования, предъ</w:t>
      </w:r>
      <w:r>
        <w:rPr>
          <w:rFonts w:eastAsiaTheme="minorHAnsi"/>
          <w:b/>
          <w:lang w:eastAsia="en-US"/>
        </w:rPr>
        <w:t xml:space="preserve">являемые к участникам закупки:</w:t>
      </w:r>
      <w:r>
        <w:rPr>
          <w:rFonts w:eastAsiaTheme="minorHAnsi"/>
          <w:b/>
          <w:lang w:eastAsia="en-US"/>
        </w:rPr>
      </w:r>
      <w:r>
        <w:rPr>
          <w:rFonts w:eastAsiaTheme="minorHAnsi"/>
          <w:b/>
          <w:lang w:eastAsia="en-US"/>
        </w:rPr>
      </w:r>
    </w:p>
    <w:p>
      <w:pPr>
        <w:pStyle w:val="1001"/>
        <w:ind w:left="0" w:firstLine="709"/>
      </w:pPr>
      <w:r>
        <w:t xml:space="preserve">Не предъявляются.</w:t>
      </w:r>
      <w:r/>
    </w:p>
    <w:p>
      <w:pPr>
        <w:ind w:left="708"/>
        <w:jc w:val="both"/>
        <w:spacing w:after="160"/>
        <w:rPr>
          <w:b/>
        </w:rPr>
      </w:pPr>
      <w:r>
        <w:rPr>
          <w:b/>
        </w:rPr>
        <w:t xml:space="preserve">5.6. Требования о наличии аккредитации в Группе «</w:t>
      </w:r>
      <w:r>
        <w:rPr>
          <w:b/>
        </w:rPr>
        <w:t xml:space="preserve">Интер</w:t>
      </w:r>
      <w:r>
        <w:rPr>
          <w:b/>
        </w:rPr>
        <w:t xml:space="preserve"> РАО»</w:t>
      </w:r>
      <w:r>
        <w:rPr>
          <w:b/>
        </w:rPr>
      </w:r>
      <w:r>
        <w:rPr>
          <w:b/>
        </w:rPr>
      </w:r>
    </w:p>
    <w:p>
      <w:pPr>
        <w:ind w:firstLine="708"/>
        <w:jc w:val="both"/>
        <w:spacing w:after="160"/>
        <w:rPr>
          <w:b/>
        </w:rPr>
      </w:pPr>
      <w:r>
        <w:t xml:space="preserve">Участники закупки, имеющие аккредитацию в Группе «</w:t>
      </w:r>
      <w:r>
        <w:t xml:space="preserve">Интер</w:t>
      </w:r>
      <w:r>
        <w:t xml:space="preserve"> РАО» в качестве поставщиков услуг, являющихся предметом настоящей закупки,</w:t>
      </w:r>
      <w:r>
        <w:t xml:space="preserve"> должны приложить копию действующего Свидетельства об аккредитации в Группе «</w:t>
      </w:r>
      <w:r>
        <w:t xml:space="preserve">Интер</w:t>
      </w:r>
      <w:r>
        <w:t xml:space="preserve"> РАО».</w:t>
      </w:r>
      <w:r>
        <w:rPr>
          <w:b/>
        </w:rPr>
      </w:r>
      <w:r>
        <w:rPr>
          <w:b/>
        </w:rPr>
      </w:r>
    </w:p>
    <w:p>
      <w:pPr>
        <w:ind w:left="708"/>
        <w:jc w:val="both"/>
        <w:spacing w:after="160"/>
        <w:tabs>
          <w:tab w:val="left" w:pos="6750" w:leader="none"/>
        </w:tabs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5.7. Требования к опыту оказания аналогичных услуг</w:t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</w:r>
      <w:r>
        <w:rPr>
          <w:rFonts w:eastAsiaTheme="minorHAnsi"/>
          <w:b/>
          <w:lang w:eastAsia="en-US"/>
        </w:rPr>
      </w:r>
    </w:p>
    <w:p>
      <w:pPr>
        <w:pStyle w:val="962"/>
        <w:ind w:left="0" w:firstLine="708"/>
        <w:jc w:val="both"/>
        <w:spacing w:after="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предъявляются.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708"/>
        <w:jc w:val="both"/>
        <w:spacing w:after="160"/>
        <w:rPr>
          <w:b/>
        </w:rPr>
      </w:pPr>
      <w:r>
        <w:rPr>
          <w:b/>
        </w:rPr>
        <w:t xml:space="preserve">5.8. Требования к субподрядным организациям </w:t>
      </w:r>
      <w:r>
        <w:rPr>
          <w:b/>
        </w:rPr>
      </w:r>
      <w:r>
        <w:rPr>
          <w:b/>
        </w:rPr>
      </w:r>
    </w:p>
    <w:p>
      <w:pPr>
        <w:pStyle w:val="962"/>
        <w:ind w:left="0" w:firstLine="708"/>
        <w:jc w:val="both"/>
        <w:spacing w:after="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предъявляются.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160"/>
        <w:tabs>
          <w:tab w:val="left" w:pos="3255" w:leader="none"/>
        </w:tabs>
        <w:rPr>
          <w:b/>
        </w:rPr>
      </w:pPr>
      <w:r>
        <w:rPr>
          <w:b/>
        </w:rPr>
        <w:t xml:space="preserve">6. ПРИЛОЖЕНИЯ К ТЗ</w:t>
      </w:r>
      <w:r>
        <w:rPr>
          <w:b/>
        </w:rPr>
        <w:tab/>
      </w:r>
      <w:r>
        <w:rPr>
          <w:b/>
        </w:rPr>
      </w:r>
      <w:r>
        <w:rPr>
          <w:b/>
        </w:rPr>
      </w:r>
    </w:p>
    <w:p>
      <w:pPr>
        <w:pStyle w:val="962"/>
        <w:ind w:left="0" w:right="0" w:firstLine="0"/>
        <w:jc w:val="both"/>
        <w:spacing w:after="16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1</w:t>
      </w:r>
      <w:r>
        <w:rPr>
          <w:rFonts w:ascii="Times New Roman" w:hAnsi="Times New Roman" w:cs="Times New Roman"/>
          <w:sz w:val="24"/>
          <w:szCs w:val="24"/>
        </w:rPr>
        <w:t xml:space="preserve">. - «Перечень работ и услуг».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962"/>
        <w:ind w:left="0" w:firstLine="708"/>
        <w:jc w:val="both"/>
        <w:spacing w:after="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94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026"/>
        <w:gridCol w:w="1755"/>
        <w:gridCol w:w="2101"/>
        <w:gridCol w:w="1755"/>
      </w:tblGrid>
      <w:tr>
        <w:tblPrEx/>
        <w:trPr/>
        <w:tc>
          <w:tcPr>
            <w:tcW w:w="4077" w:type="dxa"/>
            <w:textDirection w:val="lrTb"/>
            <w:noWrap w:val="false"/>
          </w:tcPr>
          <w:p>
            <w:pPr>
              <w:ind w:firstLine="709"/>
              <w:jc w:val="both"/>
              <w:spacing w:line="276" w:lineRule="auto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77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77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484"/>
        </w:trPr>
        <w:tc>
          <w:tcPr>
            <w:gridSpan w:val="4"/>
            <w:tcW w:w="9755" w:type="dxa"/>
            <w:vAlign w:val="bottom"/>
            <w:textDirection w:val="lrTb"/>
            <w:noWrap w:val="false"/>
          </w:tcPr>
          <w:p>
            <w:pPr>
              <w:rPr>
                <w:vertAlign w:val="superscript"/>
              </w:rPr>
            </w:pPr>
            <w:r>
              <w:rPr>
                <w:vertAlign w:val="superscript"/>
              </w:rPr>
            </w:r>
            <w:r>
              <w:rPr>
                <w:vertAlign w:val="superscript"/>
              </w:rPr>
            </w:r>
            <w:r>
              <w:rPr>
                <w:vertAlign w:val="superscript"/>
              </w:rPr>
            </w:r>
          </w:p>
        </w:tc>
      </w:tr>
    </w:tbl>
    <w:p>
      <w:pPr>
        <w:pStyle w:val="988"/>
        <w:tabs>
          <w:tab w:val="left" w:pos="567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88"/>
        <w:tabs>
          <w:tab w:val="left" w:pos="567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88"/>
        <w:tabs>
          <w:tab w:val="left" w:pos="567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88"/>
        <w:tabs>
          <w:tab w:val="left" w:pos="567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88"/>
        <w:tabs>
          <w:tab w:val="left" w:pos="567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right"/>
        <w:spacing w:line="276" w:lineRule="auto"/>
      </w:pPr>
      <w:r>
        <w:t xml:space="preserve">Приложение №1 к техническому заданию </w:t>
      </w:r>
      <w:r/>
    </w:p>
    <w:p>
      <w:pPr>
        <w:jc w:val="right"/>
        <w:spacing w:line="276" w:lineRule="auto"/>
      </w:pPr>
      <w:r>
        <w:t xml:space="preserve"> на оказание услуг по «Технической поддержке ККТ и </w:t>
      </w:r>
      <w:r/>
    </w:p>
    <w:p>
      <w:pPr>
        <w:pStyle w:val="988"/>
        <w:jc w:val="right"/>
        <w:tabs>
          <w:tab w:val="left" w:pos="567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замене фискального накопителя» для нужд ПАО «Саратовэнерго».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88"/>
        <w:jc w:val="both"/>
        <w:tabs>
          <w:tab w:val="left" w:pos="567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88"/>
        <w:jc w:val="center"/>
        <w:tabs>
          <w:tab w:val="left" w:pos="567" w:leader="none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Перечень работ и услуг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962"/>
        <w:ind w:left="36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9913" w:type="dxa"/>
        <w:tblLayout w:type="fixed"/>
        <w:tblLook w:val="04A0" w:firstRow="1" w:lastRow="0" w:firstColumn="1" w:lastColumn="0" w:noHBand="0" w:noVBand="1"/>
      </w:tblPr>
      <w:tblGrid>
        <w:gridCol w:w="709"/>
        <w:gridCol w:w="7645"/>
        <w:gridCol w:w="1559"/>
      </w:tblGrid>
      <w:tr>
        <w:tblPrEx/>
        <w:trPr>
          <w:trHeight w:val="1128"/>
        </w:trPr>
        <w:tc>
          <w:tcPr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r>
              <w:rPr>
                <w:lang w:eastAsia="en-US"/>
              </w:rPr>
              <w:t xml:space="preserve">п.п</w:t>
            </w:r>
            <w:r>
              <w:rPr>
                <w:lang w:eastAsia="en-US"/>
              </w:rPr>
              <w:t xml:space="preserve">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none" w:color="000000" w:sz="4" w:space="0"/>
              <w:right w:val="single" w:color="auto" w:sz="8" w:space="0"/>
            </w:tcBorders>
            <w:tcW w:w="764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lang w:eastAsia="en-US"/>
              </w:rPr>
            </w:pPr>
            <w:r>
              <w:rPr>
                <w:lang w:eastAsia="en-US"/>
              </w:rPr>
              <w:t xml:space="preserve">Наименование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none" w:color="000000" w:sz="4" w:space="0"/>
              <w:right w:val="single" w:color="auto" w:sz="8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lang w:eastAsia="en-US"/>
              </w:rPr>
            </w:pPr>
            <w:r>
              <w:rPr>
                <w:lang w:eastAsia="en-US"/>
              </w:rPr>
              <w:t xml:space="preserve">Ед. изм.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lang w:eastAsia="en-US"/>
              </w:rPr>
            </w:pPr>
            <w:r>
              <w:rPr>
                <w:lang w:eastAsia="en-US"/>
              </w:rPr>
              <w:t xml:space="preserve">шт.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330"/>
        </w:trPr>
        <w:tc>
          <w:tcPr>
            <w:gridSpan w:val="3"/>
            <w:shd w:val="clear" w:color="auto" w:fill="d9d9d9" w:themeFill="background1" w:themeFillShade="D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9913" w:type="dxa"/>
            <w:vAlign w:val="center"/>
            <w:textDirection w:val="lrTb"/>
            <w:noWrap/>
          </w:tcPr>
          <w:p>
            <w:pPr>
              <w:jc w:val="center"/>
              <w:spacing w:line="276" w:lineRule="auto"/>
              <w:widowControl w:val="o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Обслуживание техническое кассовых аппаратов: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</w:tr>
      <w:tr>
        <w:tblPrEx/>
        <w:trPr>
          <w:trHeight w:val="745"/>
        </w:trPr>
        <w:tc>
          <w:tcPr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W w:w="709" w:type="dxa"/>
            <w:vAlign w:val="center"/>
            <w:textDirection w:val="lrTb"/>
            <w:noWrap/>
          </w:tcPr>
          <w:p>
            <w:pPr>
              <w:jc w:val="center"/>
              <w:spacing w:line="276" w:lineRule="auto"/>
              <w:widowControl w:val="off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W w:w="7645" w:type="dxa"/>
            <w:textDirection w:val="lrTb"/>
            <w:noWrap w:val="false"/>
          </w:tcPr>
          <w:p>
            <w:pPr>
              <w:spacing w:after="200" w:line="264" w:lineRule="auto"/>
            </w:pPr>
            <w:r>
              <w:t xml:space="preserve">Установка фискальных накопителей на ККТ</w:t>
            </w:r>
            <w:r>
              <w:rPr>
                <w:sz w:val="22"/>
                <w:szCs w:val="22"/>
              </w:rPr>
              <w:t xml:space="preserve"> марки АТОЛ fPrint22-ПТК</w:t>
            </w:r>
            <w:r/>
          </w:p>
        </w:tc>
        <w:tc>
          <w:tcPr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W w:w="1559" w:type="dxa"/>
            <w:textDirection w:val="lrTb"/>
            <w:noWrap/>
          </w:tcPr>
          <w:p>
            <w:pPr>
              <w:jc w:val="center"/>
              <w:spacing w:after="200" w:line="264" w:lineRule="auto"/>
            </w:pPr>
            <w:r>
              <w:t xml:space="preserve">40</w:t>
            </w:r>
            <w:r/>
          </w:p>
        </w:tc>
      </w:tr>
      <w:tr>
        <w:tblPrEx/>
        <w:trPr>
          <w:trHeight w:val="601"/>
        </w:trPr>
        <w:tc>
          <w:tcPr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W w:w="709" w:type="dxa"/>
            <w:vAlign w:val="center"/>
            <w:textDirection w:val="lrTb"/>
            <w:noWrap/>
          </w:tcPr>
          <w:p>
            <w:pPr>
              <w:jc w:val="center"/>
              <w:spacing w:line="276" w:lineRule="auto"/>
              <w:widowControl w:val="off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W w:w="7645" w:type="dxa"/>
            <w:textDirection w:val="lrTb"/>
            <w:noWrap w:val="false"/>
          </w:tcPr>
          <w:p>
            <w:pPr>
              <w:spacing w:after="200" w:line="264" w:lineRule="auto"/>
            </w:pPr>
            <w:r>
              <w:t xml:space="preserve">Установка фискальных накопителей на ККТ марки </w:t>
            </w:r>
            <w:r>
              <w:t xml:space="preserve">Эвотор</w:t>
            </w:r>
            <w:r/>
          </w:p>
        </w:tc>
        <w:tc>
          <w:tcPr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W w:w="1559" w:type="dxa"/>
            <w:textDirection w:val="lrTb"/>
            <w:noWrap/>
          </w:tcPr>
          <w:p>
            <w:pPr>
              <w:jc w:val="center"/>
              <w:spacing w:after="200" w:line="264" w:lineRule="auto"/>
            </w:pPr>
            <w:r>
              <w:t xml:space="preserve">39</w:t>
            </w:r>
            <w:r/>
          </w:p>
        </w:tc>
      </w:tr>
      <w:tr>
        <w:tblPrEx/>
        <w:trPr>
          <w:trHeight w:val="601"/>
        </w:trPr>
        <w:tc>
          <w:tcPr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W w:w="709" w:type="dxa"/>
            <w:vAlign w:val="center"/>
            <w:textDirection w:val="lrTb"/>
            <w:noWrap/>
          </w:tcPr>
          <w:p>
            <w:pPr>
              <w:jc w:val="center"/>
              <w:spacing w:line="276" w:lineRule="auto"/>
              <w:widowControl w:val="off"/>
              <w:rPr>
                <w:lang w:eastAsia="en-US"/>
              </w:rPr>
            </w:pPr>
            <w:r>
              <w:rPr>
                <w:lang w:eastAsia="en-US"/>
              </w:rPr>
              <w:t xml:space="preserve">3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W w:w="7645" w:type="dxa"/>
            <w:textDirection w:val="lrTb"/>
            <w:noWrap w:val="false"/>
          </w:tcPr>
          <w:p>
            <w:pPr>
              <w:spacing w:after="200" w:line="264" w:lineRule="auto"/>
            </w:pPr>
            <w:r>
              <w:rPr>
                <w:sz w:val="22"/>
                <w:szCs w:val="22"/>
              </w:rPr>
              <w:t xml:space="preserve">Подключение к сервису ОФД</w:t>
            </w:r>
            <w:r/>
          </w:p>
        </w:tc>
        <w:tc>
          <w:tcPr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W w:w="1559" w:type="dxa"/>
            <w:textDirection w:val="lrTb"/>
            <w:noWrap/>
          </w:tcPr>
          <w:p>
            <w:pPr>
              <w:jc w:val="center"/>
              <w:spacing w:after="200" w:line="264" w:lineRule="auto"/>
            </w:pPr>
            <w:r>
              <w:t xml:space="preserve">79</w:t>
            </w:r>
            <w:r/>
          </w:p>
        </w:tc>
      </w:tr>
      <w:tr>
        <w:tblPrEx/>
        <w:trPr>
          <w:trHeight w:val="475"/>
        </w:trPr>
        <w:tc>
          <w:tcPr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W w:w="709" w:type="dxa"/>
            <w:vAlign w:val="center"/>
            <w:textDirection w:val="lrTb"/>
            <w:noWrap/>
          </w:tcPr>
          <w:p>
            <w:pPr>
              <w:jc w:val="center"/>
              <w:spacing w:line="276" w:lineRule="auto"/>
              <w:widowControl w:val="off"/>
              <w:rPr>
                <w:lang w:eastAsia="en-US"/>
              </w:rPr>
            </w:pPr>
            <w:r>
              <w:rPr>
                <w:lang w:eastAsia="en-US"/>
              </w:rPr>
              <w:t xml:space="preserve">4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W w:w="7645" w:type="dxa"/>
            <w:textDirection w:val="lrTb"/>
            <w:noWrap w:val="false"/>
          </w:tcPr>
          <w:p>
            <w:pPr>
              <w:spacing w:after="200" w:line="264" w:lineRule="auto"/>
            </w:pPr>
            <w:r>
              <w:rPr>
                <w:sz w:val="22"/>
                <w:szCs w:val="22"/>
              </w:rPr>
              <w:t xml:space="preserve">Обработка фискальных данных у ОФД в течении 12 месяцев</w:t>
            </w:r>
            <w:r/>
          </w:p>
        </w:tc>
        <w:tc>
          <w:tcPr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W w:w="1559" w:type="dxa"/>
            <w:textDirection w:val="lrTb"/>
            <w:noWrap/>
          </w:tcPr>
          <w:p>
            <w:pPr>
              <w:jc w:val="center"/>
              <w:spacing w:after="200" w:line="276" w:lineRule="auto"/>
            </w:pPr>
            <w:r>
              <w:t xml:space="preserve">79</w:t>
            </w:r>
            <w:r/>
          </w:p>
        </w:tc>
      </w:tr>
      <w:tr>
        <w:tblPrEx/>
        <w:trPr>
          <w:trHeight w:val="969"/>
        </w:trPr>
        <w:tc>
          <w:tcPr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W w:w="709" w:type="dxa"/>
            <w:vAlign w:val="center"/>
            <w:textDirection w:val="lrTb"/>
            <w:noWrap/>
          </w:tcPr>
          <w:p>
            <w:pPr>
              <w:jc w:val="center"/>
              <w:spacing w:line="276" w:lineRule="auto"/>
              <w:widowControl w:val="off"/>
              <w:rPr>
                <w:lang w:eastAsia="en-US"/>
              </w:rPr>
            </w:pPr>
            <w:r>
              <w:rPr>
                <w:lang w:eastAsia="en-US"/>
              </w:rPr>
              <w:t xml:space="preserve">5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W w:w="7645" w:type="dxa"/>
            <w:textDirection w:val="lrTb"/>
            <w:noWrap w:val="false"/>
          </w:tcPr>
          <w:p>
            <w:pPr>
              <w:spacing w:after="200" w:line="264" w:lineRule="auto"/>
            </w:pPr>
            <w:r>
              <w:rPr>
                <w:sz w:val="22"/>
                <w:szCs w:val="22"/>
              </w:rPr>
              <w:t xml:space="preserve">Проведение работ по обновлению программного обеспечения ККТ АТОЛ fPrint22-ПТК.</w:t>
            </w:r>
            <w:r/>
          </w:p>
        </w:tc>
        <w:tc>
          <w:tcPr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W w:w="1559" w:type="dxa"/>
            <w:textDirection w:val="lrTb"/>
            <w:noWrap/>
          </w:tcPr>
          <w:p>
            <w:pPr>
              <w:jc w:val="center"/>
              <w:spacing w:after="200" w:line="276" w:lineRule="auto"/>
            </w:pPr>
            <w:r>
              <w:t xml:space="preserve">40</w:t>
            </w:r>
            <w:r/>
          </w:p>
        </w:tc>
      </w:tr>
      <w:tr>
        <w:tblPrEx/>
        <w:trPr>
          <w:trHeight w:val="854"/>
        </w:trPr>
        <w:tc>
          <w:tcPr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W w:w="709" w:type="dxa"/>
            <w:vAlign w:val="center"/>
            <w:textDirection w:val="lrTb"/>
            <w:noWrap/>
          </w:tcPr>
          <w:p>
            <w:pPr>
              <w:jc w:val="center"/>
              <w:spacing w:line="276" w:lineRule="auto"/>
              <w:widowControl w:val="off"/>
              <w:rPr>
                <w:lang w:eastAsia="en-US"/>
              </w:rPr>
            </w:pPr>
            <w:r>
              <w:rPr>
                <w:lang w:eastAsia="en-US"/>
              </w:rPr>
              <w:t xml:space="preserve">6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7645" w:type="dxa"/>
            <w:textDirection w:val="lrTb"/>
            <w:noWrap w:val="false"/>
          </w:tcPr>
          <w:p>
            <w:pPr>
              <w:spacing w:after="200" w:line="264" w:lineRule="auto"/>
            </w:pPr>
            <w:r>
              <w:rPr>
                <w:sz w:val="22"/>
                <w:szCs w:val="22"/>
              </w:rPr>
              <w:t xml:space="preserve">Оказание услуг по обслуживанию ККТ (</w:t>
            </w:r>
            <w:r>
              <w:rPr>
                <w:sz w:val="22"/>
                <w:szCs w:val="22"/>
              </w:rPr>
              <w:t xml:space="preserve">бледная печать</w:t>
            </w:r>
            <w:r>
              <w:rPr>
                <w:sz w:val="22"/>
                <w:szCs w:val="22"/>
              </w:rPr>
              <w:t xml:space="preserve"> не связанная с нарушением правил эксплуатации, отсутствие индикации при включении, посторонний шум во время работы, отказ работы оборудования)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/>
          </w:tcPr>
          <w:p>
            <w:pPr>
              <w:jc w:val="center"/>
              <w:spacing w:after="200" w:line="276" w:lineRule="auto"/>
            </w:pPr>
            <w:r>
              <w:t xml:space="preserve">79</w:t>
            </w:r>
            <w:r/>
          </w:p>
        </w:tc>
      </w:tr>
      <w:tr>
        <w:tblPrEx/>
        <w:trPr>
          <w:trHeight w:val="182"/>
        </w:trPr>
        <w:tc>
          <w:tcPr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W w:w="709" w:type="dxa"/>
            <w:vAlign w:val="center"/>
            <w:textDirection w:val="lrTb"/>
            <w:noWrap/>
          </w:tcPr>
          <w:p>
            <w:pPr>
              <w:jc w:val="center"/>
              <w:spacing w:line="276" w:lineRule="auto"/>
              <w:widowControl w:val="off"/>
              <w:rPr>
                <w:lang w:eastAsia="en-US"/>
              </w:rPr>
            </w:pPr>
            <w:r>
              <w:rPr>
                <w:lang w:eastAsia="en-US"/>
              </w:rPr>
              <w:t xml:space="preserve">7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7645" w:type="dxa"/>
            <w:textDirection w:val="lrTb"/>
            <w:noWrap w:val="false"/>
          </w:tcPr>
          <w:p>
            <w:pPr>
              <w:spacing w:after="200" w:line="264" w:lineRule="auto"/>
            </w:pPr>
            <w:r>
              <w:rPr>
                <w:sz w:val="22"/>
                <w:szCs w:val="22"/>
              </w:rPr>
              <w:t xml:space="preserve">Обмен данными ЭВОТОР с 1С:8 Бухгалтерия ред. 2.0-3.0 12 месяцев.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/>
          </w:tcPr>
          <w:p>
            <w:pPr>
              <w:jc w:val="center"/>
              <w:spacing w:after="200" w:line="276" w:lineRule="auto"/>
            </w:pPr>
            <w:r>
              <w:t xml:space="preserve">39</w:t>
            </w:r>
            <w:r/>
          </w:p>
        </w:tc>
      </w:tr>
      <w:tr>
        <w:tblPrEx/>
        <w:trPr>
          <w:trHeight w:val="332"/>
        </w:trPr>
        <w:tc>
          <w:tcPr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W w:w="709" w:type="dxa"/>
            <w:vAlign w:val="center"/>
            <w:textDirection w:val="lrTb"/>
            <w:noWrap/>
          </w:tcPr>
          <w:p>
            <w:pPr>
              <w:jc w:val="center"/>
              <w:spacing w:line="276" w:lineRule="auto"/>
              <w:widowControl w:val="off"/>
              <w:rPr>
                <w:lang w:eastAsia="en-US"/>
              </w:rPr>
            </w:pPr>
            <w:r>
              <w:rPr>
                <w:lang w:eastAsia="en-US"/>
              </w:rPr>
              <w:t xml:space="preserve">8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7645" w:type="dxa"/>
            <w:textDirection w:val="lrTb"/>
            <w:noWrap w:val="false"/>
          </w:tcPr>
          <w:p>
            <w:pPr>
              <w:spacing w:after="200" w:line="264" w:lineRule="auto"/>
            </w:pPr>
            <w:r>
              <w:rPr>
                <w:sz w:val="22"/>
                <w:szCs w:val="22"/>
              </w:rPr>
              <w:t xml:space="preserve">Приложение «Кассовые сервисы </w:t>
            </w:r>
            <w:r>
              <w:rPr>
                <w:sz w:val="22"/>
                <w:szCs w:val="22"/>
              </w:rPr>
              <w:t xml:space="preserve">эвотор</w:t>
            </w:r>
            <w:r>
              <w:rPr>
                <w:sz w:val="22"/>
                <w:szCs w:val="22"/>
              </w:rPr>
              <w:t xml:space="preserve">» (Абонентская плата для смарт-карты </w:t>
            </w:r>
            <w:r>
              <w:rPr>
                <w:sz w:val="22"/>
                <w:szCs w:val="22"/>
              </w:rPr>
              <w:t xml:space="preserve">Эвотор</w:t>
            </w:r>
            <w:r>
              <w:rPr>
                <w:sz w:val="22"/>
                <w:szCs w:val="22"/>
              </w:rPr>
              <w:t xml:space="preserve"> 12 месяцев)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/>
          </w:tcPr>
          <w:p>
            <w:pPr>
              <w:jc w:val="center"/>
              <w:spacing w:after="200" w:line="276" w:lineRule="auto"/>
            </w:pPr>
            <w:r>
              <w:t xml:space="preserve">39</w:t>
            </w:r>
            <w:r/>
          </w:p>
        </w:tc>
      </w:tr>
    </w:tbl>
    <w:p>
      <w:pPr>
        <w:jc w:val="both"/>
        <w:spacing w:line="276" w:lineRule="auto"/>
        <w:rPr>
          <w:lang w:eastAsia="en-US"/>
        </w:rPr>
      </w:pPr>
      <w:r>
        <w:rPr>
          <w:lang w:eastAsia="en-US"/>
        </w:rPr>
      </w:r>
      <w:bookmarkEnd w:id="0"/>
      <w:r>
        <w:rPr>
          <w:lang w:eastAsia="en-US"/>
        </w:rPr>
      </w:r>
      <w:r>
        <w:rPr>
          <w:lang w:eastAsia="en-US"/>
        </w:rPr>
      </w:r>
    </w:p>
    <w:p>
      <w:pPr>
        <w:jc w:val="both"/>
        <w:tabs>
          <w:tab w:val="left" w:pos="7655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line="276" w:lineRule="auto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sectPr>
      <w:headerReference w:type="default" r:id="rId9"/>
      <w:footnotePr/>
      <w:endnotePr/>
      <w:type w:val="nextPage"/>
      <w:pgSz w:w="11906" w:h="16838" w:orient="portrait"/>
      <w:pgMar w:top="426" w:right="851" w:bottom="851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Tahoma">
    <w:panose1 w:val="020B0604030504040204"/>
  </w:font>
  <w:font w:name="Consultant">
    <w:panose1 w:val="02000603000000000000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1413" w:hanging="705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2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8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russianLower"/>
      <w:isLgl w:val="false"/>
      <w:suff w:val="tab"/>
      <w:lvlText w:val="%1) 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0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7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4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614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 w:ascii="Times New Roman" w:hAnsi="Times New Roman" w:cs="Times New Roman"/>
        <w:b/>
        <w:i w:val="0"/>
        <w:sz w:val="22"/>
        <w:szCs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 w:ascii="Times New Roman" w:hAnsi="Times New Roman" w:cs="Times New Roman"/>
        <w:b/>
        <w:i w:val="0"/>
        <w:sz w:val="22"/>
        <w:szCs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russianLower"/>
      <w:isLgl w:val="false"/>
      <w:suff w:val="tab"/>
      <w:lvlText w:val="%3) 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71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lowerRoman"/>
      <w:isLgl w:val="false"/>
      <w:suff w:val="tab"/>
      <w:lvlText w:val="%3."/>
      <w:lvlJc w:val="right"/>
      <w:pPr>
        <w:ind w:left="10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25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2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39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46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540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92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5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5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2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52" w:hanging="1800"/>
      </w:pPr>
      <w:rPr>
        <w:rFonts w:hint="default"/>
      </w:rPr>
    </w:lvl>
  </w:abstractNum>
  <w:abstractNum w:abstractNumId="17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92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5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5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2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52" w:hanging="1800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ahoma" w:hAnsi="Tahoma"/>
        <w:b/>
        <w:sz w:val="20"/>
        <w:szCs w:val="20"/>
      </w:rPr>
    </w:lvl>
    <w:lvl w:ilvl="1">
      <w:start w:val="1"/>
      <w:numFmt w:val="decimal"/>
      <w:isLgl/>
      <w:suff w:val="tab"/>
      <w:lvlText w:val="%1.%2."/>
      <w:lvlJc w:val="left"/>
      <w:pPr>
        <w:ind w:left="720" w:hanging="720"/>
      </w:pPr>
      <w:rPr>
        <w:rFonts w:hint="default" w:ascii="Tahoma" w:hAnsi="Tahoma"/>
        <w:b/>
        <w:sz w:val="20"/>
        <w:szCs w:val="2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624" w:hanging="1065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839" w:hanging="1065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046" w:hanging="1065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360" w:hanging="360"/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4"/>
        <w:szCs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89" w:hanging="360"/>
        <w:tabs>
          <w:tab w:val="num" w:pos="1789" w:leader="none"/>
        </w:tabs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16" w:hanging="432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"/>
      <w:lvlJc w:val="left"/>
      <w:pPr>
        <w:ind w:left="720" w:hanging="360"/>
      </w:pPr>
      <w:rPr>
        <w:rFonts w:hint="default"/>
        <w:b/>
        <w:i/>
      </w:rPr>
    </w:lvl>
    <w:lvl w:ilvl="2">
      <w:start w:val="1"/>
      <w:numFmt w:val="decimal"/>
      <w:isLgl/>
      <w:suff w:val="tab"/>
      <w:lvlText w:val="%1.%2.%3"/>
      <w:lvlJc w:val="left"/>
      <w:pPr>
        <w:ind w:left="1080" w:hanging="720"/>
      </w:pPr>
      <w:rPr>
        <w:rFonts w:hint="default"/>
        <w:b/>
        <w:i/>
      </w:rPr>
    </w:lvl>
    <w:lvl w:ilvl="3">
      <w:start w:val="1"/>
      <w:numFmt w:val="decimal"/>
      <w:isLgl/>
      <w:suff w:val="tab"/>
      <w:lvlText w:val="%1.%2.%3.%4"/>
      <w:lvlJc w:val="left"/>
      <w:pPr>
        <w:ind w:left="1080" w:hanging="720"/>
      </w:pPr>
      <w:rPr>
        <w:rFonts w:hint="default"/>
        <w:b/>
        <w:i/>
      </w:rPr>
    </w:lvl>
    <w:lvl w:ilvl="4">
      <w:start w:val="1"/>
      <w:numFmt w:val="decimal"/>
      <w:isLgl/>
      <w:suff w:val="tab"/>
      <w:lvlText w:val="%1.%2.%3.%4.%5"/>
      <w:lvlJc w:val="left"/>
      <w:pPr>
        <w:ind w:left="1440" w:hanging="1080"/>
      </w:pPr>
      <w:rPr>
        <w:rFonts w:hint="default"/>
        <w:b/>
        <w:i/>
      </w:rPr>
    </w:lvl>
    <w:lvl w:ilvl="5">
      <w:start w:val="1"/>
      <w:numFmt w:val="decimal"/>
      <w:isLgl/>
      <w:suff w:val="tab"/>
      <w:lvlText w:val="%1.%2.%3.%4.%5.%6"/>
      <w:lvlJc w:val="left"/>
      <w:pPr>
        <w:ind w:left="1440" w:hanging="1080"/>
      </w:pPr>
      <w:rPr>
        <w:rFonts w:hint="default"/>
        <w:b/>
        <w:i/>
      </w:rPr>
    </w:lvl>
    <w:lvl w:ilvl="6">
      <w:start w:val="1"/>
      <w:numFmt w:val="decimal"/>
      <w:isLgl/>
      <w:suff w:val="tab"/>
      <w:lvlText w:val="%1.%2.%3.%4.%5.%6.%7"/>
      <w:lvlJc w:val="left"/>
      <w:pPr>
        <w:ind w:left="1800" w:hanging="1440"/>
      </w:pPr>
      <w:rPr>
        <w:rFonts w:hint="default"/>
        <w:b/>
        <w:i/>
      </w:rPr>
    </w:lvl>
    <w:lvl w:ilvl="7">
      <w:start w:val="1"/>
      <w:numFmt w:val="decimal"/>
      <w:isLgl/>
      <w:suff w:val="tab"/>
      <w:lvlText w:val="%1.%2.%3.%4.%5.%6.%7.%8"/>
      <w:lvlJc w:val="left"/>
      <w:pPr>
        <w:ind w:left="1800" w:hanging="1440"/>
      </w:pPr>
      <w:rPr>
        <w:rFonts w:hint="default"/>
        <w:b/>
        <w:i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2160" w:hanging="1800"/>
      </w:pPr>
      <w:rPr>
        <w:rFonts w:hint="default"/>
        <w:b/>
        <w:i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854" w:hanging="360"/>
      </w:pPr>
      <w:rPr>
        <w:rFonts w:hint="default" w:ascii="Times New Roman" w:hAnsi="Times New Roman" w:cs="Times New Roman"/>
        <w:b/>
        <w:i w:val="0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360" w:hanging="360"/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  <w:rPr>
        <w:rFonts w:hint="default"/>
        <w:b w:val="0"/>
        <w:i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  <w:rPr>
        <w:rFonts w:hint="default"/>
        <w:b w:val="0"/>
        <w:i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  <w:rPr>
        <w:rFonts w:hint="default"/>
        <w:b w:val="0"/>
        <w:i w:val="0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  <w:rPr>
        <w:rFonts w:hint="default"/>
        <w:b w:val="0"/>
        <w:i w:val="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  <w:rPr>
        <w:rFonts w:hint="default"/>
        <w:b w:val="0"/>
        <w:i w:val="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  <w:rPr>
        <w:rFonts w:hint="default"/>
        <w:b w:val="0"/>
        <w:i w:val="0"/>
      </w:rPr>
    </w:lvl>
  </w:abstractNum>
  <w:abstractNum w:abstractNumId="35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95" w:hanging="495"/>
      </w:pPr>
      <w:rPr>
        <w:rFonts w:hint="default"/>
        <w:b/>
      </w:rPr>
    </w:lvl>
    <w:lvl w:ilvl="1">
      <w:start w:val="2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isLgl w:val="false"/>
      <w:suff w:val="tab"/>
      <w:lvlText w:val="1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1854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num w:numId="1">
    <w:abstractNumId w:val="22"/>
  </w:num>
  <w:num w:numId="2">
    <w:abstractNumId w:val="30"/>
  </w:num>
  <w:num w:numId="3">
    <w:abstractNumId w:val="11"/>
  </w:num>
  <w:num w:numId="4">
    <w:abstractNumId w:val="15"/>
  </w:num>
  <w:num w:numId="5">
    <w:abstractNumId w:val="33"/>
  </w:num>
  <w:num w:numId="6">
    <w:abstractNumId w:val="20"/>
  </w:num>
  <w:num w:numId="7">
    <w:abstractNumId w:val="28"/>
  </w:num>
  <w:num w:numId="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9"/>
  </w:num>
  <w:num w:numId="11">
    <w:abstractNumId w:val="26"/>
  </w:num>
  <w:num w:numId="12">
    <w:abstractNumId w:val="39"/>
  </w:num>
  <w:num w:numId="13">
    <w:abstractNumId w:val="29"/>
  </w:num>
  <w:num w:numId="14">
    <w:abstractNumId w:val="35"/>
  </w:num>
  <w:num w:numId="15">
    <w:abstractNumId w:val="24"/>
  </w:num>
  <w:num w:numId="16">
    <w:abstractNumId w:val="37"/>
  </w:num>
  <w:num w:numId="17">
    <w:abstractNumId w:val="7"/>
  </w:num>
  <w:num w:numId="18">
    <w:abstractNumId w:val="10"/>
  </w:num>
  <w:num w:numId="19">
    <w:abstractNumId w:val="31"/>
  </w:num>
  <w:num w:numId="20">
    <w:abstractNumId w:val="18"/>
  </w:num>
  <w:num w:numId="21">
    <w:abstractNumId w:val="14"/>
  </w:num>
  <w:num w:numId="22">
    <w:abstractNumId w:val="25"/>
    <w:lvlOverride w:ilvl="1">
      <w:startOverride w:val="1"/>
    </w:lvlOverride>
  </w:num>
  <w:num w:numId="23">
    <w:abstractNumId w:val="23"/>
    <w:lvlOverride w:ilvl="0">
      <w:startOverride w:val="1"/>
    </w:lvlOverride>
  </w:num>
  <w:num w:numId="24">
    <w:abstractNumId w:val="38"/>
  </w:num>
  <w:num w:numId="25">
    <w:abstractNumId w:val="4"/>
  </w:num>
  <w:num w:numId="26">
    <w:abstractNumId w:val="2"/>
  </w:num>
  <w:num w:numId="27">
    <w:abstractNumId w:val="32"/>
  </w:num>
  <w:num w:numId="28">
    <w:abstractNumId w:val="13"/>
  </w:num>
  <w:num w:numId="29">
    <w:abstractNumId w:val="0"/>
  </w:num>
  <w:num w:numId="30">
    <w:abstractNumId w:val="8"/>
  </w:num>
  <w:num w:numId="31">
    <w:abstractNumId w:val="6"/>
  </w:num>
  <w:num w:numId="32">
    <w:abstractNumId w:val="12"/>
  </w:num>
  <w:num w:numId="33">
    <w:abstractNumId w:val="1"/>
  </w:num>
  <w:num w:numId="34">
    <w:abstractNumId w:val="17"/>
  </w:num>
  <w:num w:numId="35">
    <w:abstractNumId w:val="16"/>
  </w:num>
  <w:num w:numId="36">
    <w:abstractNumId w:val="19"/>
  </w:num>
  <w:num w:numId="37">
    <w:abstractNumId w:val="27"/>
  </w:num>
  <w:num w:numId="38">
    <w:abstractNumId w:val="34"/>
  </w:num>
  <w:num w:numId="39">
    <w:abstractNumId w:val="21"/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ind w:left="0" w:right="0" w:firstLine="709"/>
        <w:jc w:val="both"/>
        <w:spacing w:before="0" w:beforeAutospacing="0" w:after="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63">
    <w:name w:val="Heading 3 Char"/>
    <w:basedOn w:val="782"/>
    <w:link w:val="775"/>
    <w:uiPriority w:val="9"/>
    <w:rPr>
      <w:rFonts w:ascii="Arial" w:hAnsi="Arial" w:eastAsia="Arial" w:cs="Arial"/>
      <w:sz w:val="30"/>
      <w:szCs w:val="30"/>
    </w:rPr>
  </w:style>
  <w:style w:type="character" w:styleId="764">
    <w:name w:val="Heading 5 Char"/>
    <w:basedOn w:val="782"/>
    <w:link w:val="777"/>
    <w:uiPriority w:val="9"/>
    <w:rPr>
      <w:rFonts w:ascii="Arial" w:hAnsi="Arial" w:eastAsia="Arial" w:cs="Arial"/>
      <w:b/>
      <w:bCs/>
      <w:sz w:val="24"/>
      <w:szCs w:val="24"/>
    </w:rPr>
  </w:style>
  <w:style w:type="character" w:styleId="765">
    <w:name w:val="Heading 6 Char"/>
    <w:basedOn w:val="782"/>
    <w:link w:val="778"/>
    <w:uiPriority w:val="9"/>
    <w:rPr>
      <w:rFonts w:ascii="Arial" w:hAnsi="Arial" w:eastAsia="Arial" w:cs="Arial"/>
      <w:b/>
      <w:bCs/>
      <w:sz w:val="22"/>
      <w:szCs w:val="22"/>
    </w:rPr>
  </w:style>
  <w:style w:type="character" w:styleId="766">
    <w:name w:val="Heading 7 Char"/>
    <w:basedOn w:val="782"/>
    <w:link w:val="77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7">
    <w:name w:val="Heading 8 Char"/>
    <w:basedOn w:val="782"/>
    <w:link w:val="780"/>
    <w:uiPriority w:val="9"/>
    <w:rPr>
      <w:rFonts w:ascii="Arial" w:hAnsi="Arial" w:eastAsia="Arial" w:cs="Arial"/>
      <w:i/>
      <w:iCs/>
      <w:sz w:val="22"/>
      <w:szCs w:val="22"/>
    </w:rPr>
  </w:style>
  <w:style w:type="character" w:styleId="768">
    <w:name w:val="Heading 9 Char"/>
    <w:basedOn w:val="782"/>
    <w:link w:val="781"/>
    <w:uiPriority w:val="9"/>
    <w:rPr>
      <w:rFonts w:ascii="Arial" w:hAnsi="Arial" w:eastAsia="Arial" w:cs="Arial"/>
      <w:i/>
      <w:iCs/>
      <w:sz w:val="21"/>
      <w:szCs w:val="21"/>
    </w:rPr>
  </w:style>
  <w:style w:type="character" w:styleId="769">
    <w:name w:val="Subtitle Char"/>
    <w:basedOn w:val="782"/>
    <w:link w:val="795"/>
    <w:uiPriority w:val="11"/>
    <w:rPr>
      <w:sz w:val="24"/>
      <w:szCs w:val="24"/>
    </w:rPr>
  </w:style>
  <w:style w:type="character" w:styleId="770">
    <w:name w:val="Quote Char"/>
    <w:link w:val="797"/>
    <w:uiPriority w:val="29"/>
    <w:rPr>
      <w:i/>
    </w:rPr>
  </w:style>
  <w:style w:type="character" w:styleId="771">
    <w:name w:val="Intense Quote Char"/>
    <w:link w:val="799"/>
    <w:uiPriority w:val="30"/>
    <w:rPr>
      <w:i/>
    </w:rPr>
  </w:style>
  <w:style w:type="paragraph" w:styleId="772" w:default="1">
    <w:name w:val="Normal"/>
    <w:qFormat/>
    <w:pPr>
      <w:ind w:firstLine="0"/>
      <w:jc w:val="left"/>
      <w:spacing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73">
    <w:name w:val="Heading 1"/>
    <w:basedOn w:val="772"/>
    <w:next w:val="772"/>
    <w:link w:val="952"/>
    <w:uiPriority w:val="9"/>
    <w:qFormat/>
    <w:pPr>
      <w:keepLines/>
      <w:keepNext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774">
    <w:name w:val="Heading 2"/>
    <w:basedOn w:val="772"/>
    <w:next w:val="772"/>
    <w:link w:val="1003"/>
    <w:uiPriority w:val="9"/>
    <w:unhideWhenUsed/>
    <w:qFormat/>
    <w:pPr>
      <w:jc w:val="right"/>
      <w:keepNext/>
      <w:outlineLvl w:val="1"/>
    </w:pPr>
    <w:rPr>
      <w:b/>
      <w:bCs/>
      <w:iCs/>
      <w:sz w:val="22"/>
      <w:szCs w:val="22"/>
    </w:rPr>
  </w:style>
  <w:style w:type="paragraph" w:styleId="775">
    <w:name w:val="Heading 3"/>
    <w:basedOn w:val="772"/>
    <w:next w:val="772"/>
    <w:link w:val="78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76">
    <w:name w:val="Heading 4"/>
    <w:basedOn w:val="772"/>
    <w:next w:val="772"/>
    <w:link w:val="994"/>
    <w:uiPriority w:val="9"/>
    <w:semiHidden/>
    <w:unhideWhenUsed/>
    <w:qFormat/>
    <w:pPr>
      <w:keepLines/>
      <w:keepNext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777">
    <w:name w:val="Heading 5"/>
    <w:basedOn w:val="772"/>
    <w:next w:val="772"/>
    <w:link w:val="78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78">
    <w:name w:val="Heading 6"/>
    <w:basedOn w:val="772"/>
    <w:next w:val="772"/>
    <w:link w:val="79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79">
    <w:name w:val="Heading 7"/>
    <w:basedOn w:val="772"/>
    <w:next w:val="772"/>
    <w:link w:val="79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80">
    <w:name w:val="Heading 8"/>
    <w:basedOn w:val="772"/>
    <w:next w:val="772"/>
    <w:link w:val="79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81">
    <w:name w:val="Heading 9"/>
    <w:basedOn w:val="772"/>
    <w:next w:val="772"/>
    <w:link w:val="79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82" w:default="1">
    <w:name w:val="Default Paragraph Font"/>
    <w:uiPriority w:val="1"/>
    <w:semiHidden/>
    <w:unhideWhenUsed/>
  </w:style>
  <w:style w:type="table" w:styleId="78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84" w:default="1">
    <w:name w:val="No List"/>
    <w:uiPriority w:val="99"/>
    <w:semiHidden/>
    <w:unhideWhenUsed/>
  </w:style>
  <w:style w:type="character" w:styleId="785" w:customStyle="1">
    <w:name w:val="Heading 1 Char"/>
    <w:basedOn w:val="782"/>
    <w:uiPriority w:val="9"/>
    <w:rPr>
      <w:rFonts w:ascii="Arial" w:hAnsi="Arial" w:eastAsia="Arial" w:cs="Arial"/>
      <w:sz w:val="40"/>
      <w:szCs w:val="40"/>
    </w:rPr>
  </w:style>
  <w:style w:type="character" w:styleId="786" w:customStyle="1">
    <w:name w:val="Heading 2 Char"/>
    <w:basedOn w:val="782"/>
    <w:uiPriority w:val="9"/>
    <w:rPr>
      <w:rFonts w:ascii="Arial" w:hAnsi="Arial" w:eastAsia="Arial" w:cs="Arial"/>
      <w:sz w:val="34"/>
    </w:rPr>
  </w:style>
  <w:style w:type="character" w:styleId="787" w:customStyle="1">
    <w:name w:val="Заголовок 3 Знак"/>
    <w:basedOn w:val="782"/>
    <w:link w:val="775"/>
    <w:uiPriority w:val="9"/>
    <w:rPr>
      <w:rFonts w:ascii="Arial" w:hAnsi="Arial" w:eastAsia="Arial" w:cs="Arial"/>
      <w:sz w:val="30"/>
      <w:szCs w:val="30"/>
    </w:rPr>
  </w:style>
  <w:style w:type="character" w:styleId="788" w:customStyle="1">
    <w:name w:val="Heading 4 Char"/>
    <w:basedOn w:val="782"/>
    <w:uiPriority w:val="9"/>
    <w:rPr>
      <w:rFonts w:ascii="Arial" w:hAnsi="Arial" w:eastAsia="Arial" w:cs="Arial"/>
      <w:b/>
      <w:bCs/>
      <w:sz w:val="26"/>
      <w:szCs w:val="26"/>
    </w:rPr>
  </w:style>
  <w:style w:type="character" w:styleId="789" w:customStyle="1">
    <w:name w:val="Заголовок 5 Знак"/>
    <w:basedOn w:val="782"/>
    <w:link w:val="777"/>
    <w:uiPriority w:val="9"/>
    <w:rPr>
      <w:rFonts w:ascii="Arial" w:hAnsi="Arial" w:eastAsia="Arial" w:cs="Arial"/>
      <w:b/>
      <w:bCs/>
      <w:sz w:val="24"/>
      <w:szCs w:val="24"/>
    </w:rPr>
  </w:style>
  <w:style w:type="character" w:styleId="790" w:customStyle="1">
    <w:name w:val="Заголовок 6 Знак"/>
    <w:basedOn w:val="782"/>
    <w:link w:val="778"/>
    <w:uiPriority w:val="9"/>
    <w:rPr>
      <w:rFonts w:ascii="Arial" w:hAnsi="Arial" w:eastAsia="Arial" w:cs="Arial"/>
      <w:b/>
      <w:bCs/>
      <w:sz w:val="22"/>
      <w:szCs w:val="22"/>
    </w:rPr>
  </w:style>
  <w:style w:type="character" w:styleId="791" w:customStyle="1">
    <w:name w:val="Заголовок 7 Знак"/>
    <w:basedOn w:val="782"/>
    <w:link w:val="77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92" w:customStyle="1">
    <w:name w:val="Заголовок 8 Знак"/>
    <w:basedOn w:val="782"/>
    <w:link w:val="780"/>
    <w:uiPriority w:val="9"/>
    <w:rPr>
      <w:rFonts w:ascii="Arial" w:hAnsi="Arial" w:eastAsia="Arial" w:cs="Arial"/>
      <w:i/>
      <w:iCs/>
      <w:sz w:val="22"/>
      <w:szCs w:val="22"/>
    </w:rPr>
  </w:style>
  <w:style w:type="character" w:styleId="793" w:customStyle="1">
    <w:name w:val="Заголовок 9 Знак"/>
    <w:basedOn w:val="782"/>
    <w:link w:val="781"/>
    <w:uiPriority w:val="9"/>
    <w:rPr>
      <w:rFonts w:ascii="Arial" w:hAnsi="Arial" w:eastAsia="Arial" w:cs="Arial"/>
      <w:i/>
      <w:iCs/>
      <w:sz w:val="21"/>
      <w:szCs w:val="21"/>
    </w:rPr>
  </w:style>
  <w:style w:type="character" w:styleId="794" w:customStyle="1">
    <w:name w:val="Title Char"/>
    <w:basedOn w:val="782"/>
    <w:uiPriority w:val="10"/>
    <w:rPr>
      <w:sz w:val="48"/>
      <w:szCs w:val="48"/>
    </w:rPr>
  </w:style>
  <w:style w:type="paragraph" w:styleId="795">
    <w:name w:val="Subtitle"/>
    <w:basedOn w:val="772"/>
    <w:next w:val="772"/>
    <w:link w:val="796"/>
    <w:uiPriority w:val="11"/>
    <w:qFormat/>
    <w:pPr>
      <w:spacing w:before="200" w:after="200"/>
    </w:pPr>
  </w:style>
  <w:style w:type="character" w:styleId="796" w:customStyle="1">
    <w:name w:val="Подзаголовок Знак"/>
    <w:basedOn w:val="782"/>
    <w:link w:val="795"/>
    <w:uiPriority w:val="11"/>
    <w:rPr>
      <w:sz w:val="24"/>
      <w:szCs w:val="24"/>
    </w:rPr>
  </w:style>
  <w:style w:type="paragraph" w:styleId="797">
    <w:name w:val="Quote"/>
    <w:basedOn w:val="772"/>
    <w:next w:val="772"/>
    <w:link w:val="798"/>
    <w:uiPriority w:val="29"/>
    <w:qFormat/>
    <w:pPr>
      <w:ind w:left="720" w:right="720"/>
    </w:pPr>
    <w:rPr>
      <w:i/>
    </w:rPr>
  </w:style>
  <w:style w:type="character" w:styleId="798" w:customStyle="1">
    <w:name w:val="Цитата 2 Знак"/>
    <w:link w:val="797"/>
    <w:uiPriority w:val="29"/>
    <w:rPr>
      <w:i/>
    </w:rPr>
  </w:style>
  <w:style w:type="paragraph" w:styleId="799">
    <w:name w:val="Intense Quote"/>
    <w:basedOn w:val="772"/>
    <w:next w:val="772"/>
    <w:link w:val="80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0" w:customStyle="1">
    <w:name w:val="Выделенная цитата Знак"/>
    <w:link w:val="799"/>
    <w:uiPriority w:val="30"/>
    <w:rPr>
      <w:i/>
    </w:rPr>
  </w:style>
  <w:style w:type="character" w:styleId="801" w:customStyle="1">
    <w:name w:val="Header Char"/>
    <w:basedOn w:val="782"/>
    <w:uiPriority w:val="99"/>
  </w:style>
  <w:style w:type="character" w:styleId="802" w:customStyle="1">
    <w:name w:val="Footer Char"/>
    <w:basedOn w:val="782"/>
    <w:uiPriority w:val="99"/>
  </w:style>
  <w:style w:type="paragraph" w:styleId="803">
    <w:name w:val="Caption"/>
    <w:basedOn w:val="772"/>
    <w:next w:val="772"/>
    <w:link w:val="80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04" w:customStyle="1">
    <w:name w:val="Caption Char"/>
    <w:uiPriority w:val="99"/>
  </w:style>
  <w:style w:type="table" w:styleId="805" w:customStyle="1">
    <w:name w:val="Table Grid Light"/>
    <w:basedOn w:val="783"/>
    <w:uiPriority w:val="59"/>
    <w:pPr>
      <w:spacing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06">
    <w:name w:val="Plain Table 1"/>
    <w:basedOn w:val="783"/>
    <w:uiPriority w:val="59"/>
    <w:pPr>
      <w:spacing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7">
    <w:name w:val="Plain Table 2"/>
    <w:basedOn w:val="783"/>
    <w:uiPriority w:val="59"/>
    <w:pPr>
      <w:spacing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8">
    <w:name w:val="Plain Table 3"/>
    <w:basedOn w:val="783"/>
    <w:uiPriority w:val="99"/>
    <w:pPr>
      <w:spacing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9">
    <w:name w:val="Plain Table 4"/>
    <w:basedOn w:val="783"/>
    <w:uiPriority w:val="99"/>
    <w:pPr>
      <w:spacing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Plain Table 5"/>
    <w:basedOn w:val="783"/>
    <w:uiPriority w:val="99"/>
    <w:pPr>
      <w:spacing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1">
    <w:name w:val="Grid Table 1 Light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Grid Table 1 Light - Accent 1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Grid Table 1 Light - Accent 2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Grid Table 1 Light - Accent 3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Grid Table 1 Light - Accent 4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Grid Table 1 Light - Accent 5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Grid Table 1 Light - Accent 6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Grid Table 2"/>
    <w:basedOn w:val="783"/>
    <w:uiPriority w:val="99"/>
    <w:pPr>
      <w:spacing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2 - Accent 1"/>
    <w:basedOn w:val="783"/>
    <w:uiPriority w:val="99"/>
    <w:pPr>
      <w:spacing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2 - Accent 2"/>
    <w:basedOn w:val="783"/>
    <w:uiPriority w:val="99"/>
    <w:pPr>
      <w:spacing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2 - Accent 3"/>
    <w:basedOn w:val="783"/>
    <w:uiPriority w:val="99"/>
    <w:pPr>
      <w:spacing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2 - Accent 4"/>
    <w:basedOn w:val="783"/>
    <w:uiPriority w:val="99"/>
    <w:pPr>
      <w:spacing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2 - Accent 5"/>
    <w:basedOn w:val="783"/>
    <w:uiPriority w:val="99"/>
    <w:pPr>
      <w:spacing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2 - Accent 6"/>
    <w:basedOn w:val="783"/>
    <w:uiPriority w:val="99"/>
    <w:pPr>
      <w:spacing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3"/>
    <w:basedOn w:val="783"/>
    <w:uiPriority w:val="99"/>
    <w:pPr>
      <w:spacing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3 - Accent 1"/>
    <w:basedOn w:val="783"/>
    <w:uiPriority w:val="99"/>
    <w:pPr>
      <w:spacing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3 - Accent 2"/>
    <w:basedOn w:val="783"/>
    <w:uiPriority w:val="99"/>
    <w:pPr>
      <w:spacing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3 - Accent 3"/>
    <w:basedOn w:val="783"/>
    <w:uiPriority w:val="99"/>
    <w:pPr>
      <w:spacing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3 - Accent 4"/>
    <w:basedOn w:val="783"/>
    <w:uiPriority w:val="99"/>
    <w:pPr>
      <w:spacing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Grid Table 3 - Accent 5"/>
    <w:basedOn w:val="783"/>
    <w:uiPriority w:val="99"/>
    <w:pPr>
      <w:spacing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3 - Accent 6"/>
    <w:basedOn w:val="783"/>
    <w:uiPriority w:val="99"/>
    <w:pPr>
      <w:spacing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4"/>
    <w:basedOn w:val="783"/>
    <w:uiPriority w:val="59"/>
    <w:pPr>
      <w:spacing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3" w:customStyle="1">
    <w:name w:val="Grid Table 4 - Accent 1"/>
    <w:basedOn w:val="783"/>
    <w:uiPriority w:val="59"/>
    <w:pPr>
      <w:spacing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34" w:customStyle="1">
    <w:name w:val="Grid Table 4 - Accent 2"/>
    <w:basedOn w:val="783"/>
    <w:uiPriority w:val="59"/>
    <w:pPr>
      <w:spacing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35" w:customStyle="1">
    <w:name w:val="Grid Table 4 - Accent 3"/>
    <w:basedOn w:val="783"/>
    <w:uiPriority w:val="59"/>
    <w:pPr>
      <w:spacing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36" w:customStyle="1">
    <w:name w:val="Grid Table 4 - Accent 4"/>
    <w:basedOn w:val="783"/>
    <w:uiPriority w:val="59"/>
    <w:pPr>
      <w:spacing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37" w:customStyle="1">
    <w:name w:val="Grid Table 4 - Accent 5"/>
    <w:basedOn w:val="783"/>
    <w:uiPriority w:val="59"/>
    <w:pPr>
      <w:spacing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38" w:customStyle="1">
    <w:name w:val="Grid Table 4 - Accent 6"/>
    <w:basedOn w:val="783"/>
    <w:uiPriority w:val="59"/>
    <w:pPr>
      <w:spacing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39">
    <w:name w:val="Grid Table 5 Dark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40" w:customStyle="1">
    <w:name w:val="Grid Table 5 Dark- Accent 1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41" w:customStyle="1">
    <w:name w:val="Grid Table 5 Dark - Accent 2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42" w:customStyle="1">
    <w:name w:val="Grid Table 5 Dark - Accent 3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43" w:customStyle="1">
    <w:name w:val="Grid Table 5 Dark- Accent 4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44" w:customStyle="1">
    <w:name w:val="Grid Table 5 Dark - Accent 5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45" w:customStyle="1">
    <w:name w:val="Grid Table 5 Dark - Accent 6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46">
    <w:name w:val="Grid Table 6 Colorful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47" w:customStyle="1">
    <w:name w:val="Grid Table 6 Colorful - Accent 1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48" w:customStyle="1">
    <w:name w:val="Grid Table 6 Colorful - Accent 2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49" w:customStyle="1">
    <w:name w:val="Grid Table 6 Colorful - Accent 3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50" w:customStyle="1">
    <w:name w:val="Grid Table 6 Colorful - Accent 4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51" w:customStyle="1">
    <w:name w:val="Grid Table 6 Colorful - Accent 5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2" w:customStyle="1">
    <w:name w:val="Grid Table 6 Colorful - Accent 6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3">
    <w:name w:val="Grid Table 7 Colorful"/>
    <w:basedOn w:val="783"/>
    <w:uiPriority w:val="99"/>
    <w:pPr>
      <w:spacing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4" w:customStyle="1">
    <w:name w:val="Grid Table 7 Colorful - Accent 1"/>
    <w:basedOn w:val="783"/>
    <w:uiPriority w:val="99"/>
    <w:pPr>
      <w:spacing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5" w:customStyle="1">
    <w:name w:val="Grid Table 7 Colorful - Accent 2"/>
    <w:basedOn w:val="783"/>
    <w:uiPriority w:val="99"/>
    <w:pPr>
      <w:spacing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6" w:customStyle="1">
    <w:name w:val="Grid Table 7 Colorful - Accent 3"/>
    <w:basedOn w:val="783"/>
    <w:uiPriority w:val="99"/>
    <w:pPr>
      <w:spacing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7" w:customStyle="1">
    <w:name w:val="Grid Table 7 Colorful - Accent 4"/>
    <w:basedOn w:val="783"/>
    <w:uiPriority w:val="99"/>
    <w:pPr>
      <w:spacing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8" w:customStyle="1">
    <w:name w:val="Grid Table 7 Colorful - Accent 5"/>
    <w:basedOn w:val="783"/>
    <w:uiPriority w:val="99"/>
    <w:pPr>
      <w:spacing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9" w:customStyle="1">
    <w:name w:val="Grid Table 7 Colorful - Accent 6"/>
    <w:basedOn w:val="783"/>
    <w:uiPriority w:val="99"/>
    <w:pPr>
      <w:spacing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0">
    <w:name w:val="List Table 1 Light"/>
    <w:basedOn w:val="783"/>
    <w:uiPriority w:val="99"/>
    <w:pPr>
      <w:spacing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List Table 1 Light - Accent 1"/>
    <w:basedOn w:val="783"/>
    <w:uiPriority w:val="99"/>
    <w:pPr>
      <w:spacing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List Table 1 Light - Accent 2"/>
    <w:basedOn w:val="783"/>
    <w:uiPriority w:val="99"/>
    <w:pPr>
      <w:spacing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List Table 1 Light - Accent 3"/>
    <w:basedOn w:val="783"/>
    <w:uiPriority w:val="99"/>
    <w:pPr>
      <w:spacing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List Table 1 Light - Accent 4"/>
    <w:basedOn w:val="783"/>
    <w:uiPriority w:val="99"/>
    <w:pPr>
      <w:spacing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List Table 1 Light - Accent 5"/>
    <w:basedOn w:val="783"/>
    <w:uiPriority w:val="99"/>
    <w:pPr>
      <w:spacing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List Table 1 Light - Accent 6"/>
    <w:basedOn w:val="783"/>
    <w:uiPriority w:val="99"/>
    <w:pPr>
      <w:spacing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List Table 2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68" w:customStyle="1">
    <w:name w:val="List Table 2 - Accent 1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69" w:customStyle="1">
    <w:name w:val="List Table 2 - Accent 2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70" w:customStyle="1">
    <w:name w:val="List Table 2 - Accent 3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71" w:customStyle="1">
    <w:name w:val="List Table 2 - Accent 4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72" w:customStyle="1">
    <w:name w:val="List Table 2 - Accent 5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73" w:customStyle="1">
    <w:name w:val="List Table 2 - Accent 6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74">
    <w:name w:val="List Table 3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3 - Accent 1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3 - Accent 2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3 - Accent 3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List Table 3 - Accent 4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3 - Accent 5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List Table 3 - Accent 6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4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List Table 4 - Accent 1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 w:customStyle="1">
    <w:name w:val="List Table 4 - Accent 2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List Table 4 - Accent 3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List Table 4 - Accent 4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 w:customStyle="1">
    <w:name w:val="List Table 4 - Accent 5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List Table 4 - Accent 6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5 Dark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9" w:customStyle="1">
    <w:name w:val="List Table 5 Dark - Accent 1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0" w:customStyle="1">
    <w:name w:val="List Table 5 Dark - Accent 2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1" w:customStyle="1">
    <w:name w:val="List Table 5 Dark - Accent 3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2" w:customStyle="1">
    <w:name w:val="List Table 5 Dark - Accent 4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3" w:customStyle="1">
    <w:name w:val="List Table 5 Dark - Accent 5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4" w:customStyle="1">
    <w:name w:val="List Table 5 Dark - Accent 6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5">
    <w:name w:val="List Table 6 Colorful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96" w:customStyle="1">
    <w:name w:val="List Table 6 Colorful - Accent 1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97" w:customStyle="1">
    <w:name w:val="List Table 6 Colorful - Accent 2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98" w:customStyle="1">
    <w:name w:val="List Table 6 Colorful - Accent 3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99" w:customStyle="1">
    <w:name w:val="List Table 6 Colorful - Accent 4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00" w:customStyle="1">
    <w:name w:val="List Table 6 Colorful - Accent 5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01" w:customStyle="1">
    <w:name w:val="List Table 6 Colorful - Accent 6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02">
    <w:name w:val="List Table 7 Colorful"/>
    <w:basedOn w:val="783"/>
    <w:uiPriority w:val="99"/>
    <w:pPr>
      <w:spacing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3" w:customStyle="1">
    <w:name w:val="List Table 7 Colorful - Accent 1"/>
    <w:basedOn w:val="783"/>
    <w:uiPriority w:val="99"/>
    <w:pPr>
      <w:spacing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4" w:customStyle="1">
    <w:name w:val="List Table 7 Colorful - Accent 2"/>
    <w:basedOn w:val="783"/>
    <w:uiPriority w:val="99"/>
    <w:pPr>
      <w:spacing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5" w:customStyle="1">
    <w:name w:val="List Table 7 Colorful - Accent 3"/>
    <w:basedOn w:val="783"/>
    <w:uiPriority w:val="99"/>
    <w:pPr>
      <w:spacing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6" w:customStyle="1">
    <w:name w:val="List Table 7 Colorful - Accent 4"/>
    <w:basedOn w:val="783"/>
    <w:uiPriority w:val="99"/>
    <w:pPr>
      <w:spacing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7" w:customStyle="1">
    <w:name w:val="List Table 7 Colorful - Accent 5"/>
    <w:basedOn w:val="783"/>
    <w:uiPriority w:val="99"/>
    <w:pPr>
      <w:spacing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8" w:customStyle="1">
    <w:name w:val="List Table 7 Colorful - Accent 6"/>
    <w:basedOn w:val="783"/>
    <w:uiPriority w:val="99"/>
    <w:pPr>
      <w:spacing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9" w:customStyle="1">
    <w:name w:val="Lined - Accent"/>
    <w:basedOn w:val="783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0" w:customStyle="1">
    <w:name w:val="Lined - Accent 1"/>
    <w:basedOn w:val="783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1" w:customStyle="1">
    <w:name w:val="Lined - Accent 2"/>
    <w:basedOn w:val="783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2" w:customStyle="1">
    <w:name w:val="Lined - Accent 3"/>
    <w:basedOn w:val="783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3" w:customStyle="1">
    <w:name w:val="Lined - Accent 4"/>
    <w:basedOn w:val="783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4" w:customStyle="1">
    <w:name w:val="Lined - Accent 5"/>
    <w:basedOn w:val="783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5" w:customStyle="1">
    <w:name w:val="Lined - Accent 6"/>
    <w:basedOn w:val="783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6" w:customStyle="1">
    <w:name w:val="Bordered &amp; Lined - Accent"/>
    <w:basedOn w:val="783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7" w:customStyle="1">
    <w:name w:val="Bordered &amp; Lined - Accent 1"/>
    <w:basedOn w:val="783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8" w:customStyle="1">
    <w:name w:val="Bordered &amp; Lined - Accent 2"/>
    <w:basedOn w:val="783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9" w:customStyle="1">
    <w:name w:val="Bordered &amp; Lined - Accent 3"/>
    <w:basedOn w:val="783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20" w:customStyle="1">
    <w:name w:val="Bordered &amp; Lined - Accent 4"/>
    <w:basedOn w:val="783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21" w:customStyle="1">
    <w:name w:val="Bordered &amp; Lined - Accent 5"/>
    <w:basedOn w:val="783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22" w:customStyle="1">
    <w:name w:val="Bordered &amp; Lined - Accent 6"/>
    <w:basedOn w:val="783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23" w:customStyle="1">
    <w:name w:val="Bordered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24" w:customStyle="1">
    <w:name w:val="Bordered - Accent 1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25" w:customStyle="1">
    <w:name w:val="Bordered - Accent 2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26" w:customStyle="1">
    <w:name w:val="Bordered - Accent 3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27" w:customStyle="1">
    <w:name w:val="Bordered - Accent 4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28" w:customStyle="1">
    <w:name w:val="Bordered - Accent 5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29" w:customStyle="1">
    <w:name w:val="Bordered - Accent 6"/>
    <w:basedOn w:val="783"/>
    <w:uiPriority w:val="99"/>
    <w:pPr>
      <w:spacing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30" w:customStyle="1">
    <w:name w:val="Footnote Text Char"/>
    <w:uiPriority w:val="99"/>
    <w:rPr>
      <w:sz w:val="18"/>
    </w:rPr>
  </w:style>
  <w:style w:type="character" w:styleId="931" w:customStyle="1">
    <w:name w:val="Endnote Text Char"/>
    <w:uiPriority w:val="99"/>
    <w:rPr>
      <w:sz w:val="20"/>
    </w:rPr>
  </w:style>
  <w:style w:type="paragraph" w:styleId="932">
    <w:name w:val="toc 2"/>
    <w:basedOn w:val="772"/>
    <w:next w:val="772"/>
    <w:uiPriority w:val="39"/>
    <w:unhideWhenUsed/>
    <w:pPr>
      <w:ind w:left="283"/>
      <w:spacing w:after="57"/>
    </w:pPr>
  </w:style>
  <w:style w:type="paragraph" w:styleId="933">
    <w:name w:val="toc 3"/>
    <w:basedOn w:val="772"/>
    <w:next w:val="772"/>
    <w:uiPriority w:val="39"/>
    <w:unhideWhenUsed/>
    <w:pPr>
      <w:ind w:left="567"/>
      <w:spacing w:after="57"/>
    </w:pPr>
  </w:style>
  <w:style w:type="paragraph" w:styleId="934">
    <w:name w:val="toc 4"/>
    <w:basedOn w:val="772"/>
    <w:next w:val="772"/>
    <w:uiPriority w:val="39"/>
    <w:unhideWhenUsed/>
    <w:pPr>
      <w:ind w:left="850"/>
      <w:spacing w:after="57"/>
    </w:pPr>
  </w:style>
  <w:style w:type="paragraph" w:styleId="935">
    <w:name w:val="toc 5"/>
    <w:basedOn w:val="772"/>
    <w:next w:val="772"/>
    <w:uiPriority w:val="39"/>
    <w:unhideWhenUsed/>
    <w:pPr>
      <w:ind w:left="1134"/>
      <w:spacing w:after="57"/>
    </w:pPr>
  </w:style>
  <w:style w:type="paragraph" w:styleId="936">
    <w:name w:val="toc 6"/>
    <w:basedOn w:val="772"/>
    <w:next w:val="772"/>
    <w:uiPriority w:val="39"/>
    <w:unhideWhenUsed/>
    <w:pPr>
      <w:ind w:left="1417"/>
      <w:spacing w:after="57"/>
    </w:pPr>
  </w:style>
  <w:style w:type="paragraph" w:styleId="937">
    <w:name w:val="toc 7"/>
    <w:basedOn w:val="772"/>
    <w:next w:val="772"/>
    <w:uiPriority w:val="39"/>
    <w:unhideWhenUsed/>
    <w:pPr>
      <w:ind w:left="1701"/>
      <w:spacing w:after="57"/>
    </w:pPr>
  </w:style>
  <w:style w:type="paragraph" w:styleId="938">
    <w:name w:val="toc 8"/>
    <w:basedOn w:val="772"/>
    <w:next w:val="772"/>
    <w:uiPriority w:val="39"/>
    <w:unhideWhenUsed/>
    <w:pPr>
      <w:ind w:left="1984"/>
      <w:spacing w:after="57"/>
    </w:pPr>
  </w:style>
  <w:style w:type="paragraph" w:styleId="939">
    <w:name w:val="toc 9"/>
    <w:basedOn w:val="772"/>
    <w:next w:val="772"/>
    <w:uiPriority w:val="39"/>
    <w:unhideWhenUsed/>
    <w:pPr>
      <w:ind w:left="2268"/>
      <w:spacing w:after="57"/>
    </w:pPr>
  </w:style>
  <w:style w:type="paragraph" w:styleId="940">
    <w:name w:val="TOC Heading"/>
    <w:uiPriority w:val="39"/>
    <w:unhideWhenUsed/>
  </w:style>
  <w:style w:type="paragraph" w:styleId="941">
    <w:name w:val="table of figures"/>
    <w:basedOn w:val="772"/>
    <w:next w:val="772"/>
    <w:uiPriority w:val="99"/>
    <w:unhideWhenUsed/>
  </w:style>
  <w:style w:type="table" w:styleId="942">
    <w:name w:val="Table Grid"/>
    <w:basedOn w:val="783"/>
    <w:pPr>
      <w:ind w:firstLine="0"/>
      <w:jc w:val="left"/>
      <w:spacing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43">
    <w:name w:val="Title"/>
    <w:basedOn w:val="772"/>
    <w:link w:val="944"/>
    <w:qFormat/>
    <w:pPr>
      <w:jc w:val="center"/>
    </w:pPr>
    <w:rPr>
      <w:b/>
      <w:bCs/>
      <w:sz w:val="28"/>
    </w:rPr>
  </w:style>
  <w:style w:type="character" w:styleId="944" w:customStyle="1">
    <w:name w:val="Название Знак"/>
    <w:basedOn w:val="782"/>
    <w:link w:val="943"/>
    <w:rPr>
      <w:rFonts w:ascii="Times New Roman" w:hAnsi="Times New Roman" w:eastAsia="Times New Roman" w:cs="Times New Roman"/>
      <w:b/>
      <w:bCs/>
      <w:sz w:val="28"/>
      <w:szCs w:val="24"/>
      <w:lang w:eastAsia="ru-RU"/>
    </w:rPr>
  </w:style>
  <w:style w:type="character" w:styleId="945">
    <w:name w:val="page number"/>
    <w:basedOn w:val="782"/>
  </w:style>
  <w:style w:type="paragraph" w:styleId="946">
    <w:name w:val="Header"/>
    <w:basedOn w:val="772"/>
    <w:link w:val="947"/>
    <w:pPr>
      <w:tabs>
        <w:tab w:val="center" w:pos="4677" w:leader="none"/>
        <w:tab w:val="right" w:pos="9355" w:leader="none"/>
      </w:tabs>
    </w:pPr>
  </w:style>
  <w:style w:type="character" w:styleId="947" w:customStyle="1">
    <w:name w:val="Верхний колонтитул Знак"/>
    <w:basedOn w:val="782"/>
    <w:link w:val="946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8">
    <w:name w:val="annotation text"/>
    <w:basedOn w:val="772"/>
    <w:link w:val="949"/>
    <w:uiPriority w:val="99"/>
    <w:unhideWhenUsed/>
    <w:rPr>
      <w:sz w:val="20"/>
      <w:szCs w:val="20"/>
    </w:rPr>
  </w:style>
  <w:style w:type="character" w:styleId="949" w:customStyle="1">
    <w:name w:val="Текст примечания Знак"/>
    <w:basedOn w:val="782"/>
    <w:link w:val="948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50">
    <w:name w:val="annotation subject"/>
    <w:basedOn w:val="948"/>
    <w:next w:val="948"/>
    <w:link w:val="951"/>
    <w:semiHidden/>
    <w:rPr>
      <w:b/>
      <w:bCs/>
    </w:rPr>
  </w:style>
  <w:style w:type="character" w:styleId="951" w:customStyle="1">
    <w:name w:val="Тема примечания Знак"/>
    <w:basedOn w:val="949"/>
    <w:link w:val="950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952" w:customStyle="1">
    <w:name w:val="Заголовок 1 Знак"/>
    <w:basedOn w:val="782"/>
    <w:link w:val="773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953">
    <w:name w:val="toc 1"/>
    <w:basedOn w:val="772"/>
    <w:next w:val="772"/>
    <w:uiPriority w:val="39"/>
    <w:unhideWhenUsed/>
    <w:pPr>
      <w:spacing w:after="100"/>
    </w:pPr>
  </w:style>
  <w:style w:type="character" w:styleId="954">
    <w:name w:val="Hyperlink"/>
    <w:basedOn w:val="782"/>
    <w:uiPriority w:val="99"/>
    <w:unhideWhenUsed/>
    <w:rPr>
      <w:color w:val="0000ff" w:themeColor="hyperlink"/>
      <w:u w:val="single"/>
    </w:rPr>
  </w:style>
  <w:style w:type="character" w:styleId="955">
    <w:name w:val="annotation reference"/>
    <w:basedOn w:val="782"/>
    <w:uiPriority w:val="99"/>
    <w:semiHidden/>
    <w:unhideWhenUsed/>
    <w:rPr>
      <w:sz w:val="16"/>
      <w:szCs w:val="16"/>
    </w:rPr>
  </w:style>
  <w:style w:type="paragraph" w:styleId="956">
    <w:name w:val="Balloon Text"/>
    <w:basedOn w:val="772"/>
    <w:link w:val="957"/>
    <w:uiPriority w:val="99"/>
    <w:unhideWhenUsed/>
    <w:rPr>
      <w:rFonts w:ascii="Tahoma" w:hAnsi="Tahoma" w:cs="Tahoma"/>
      <w:sz w:val="16"/>
      <w:szCs w:val="16"/>
    </w:rPr>
  </w:style>
  <w:style w:type="character" w:styleId="957" w:customStyle="1">
    <w:name w:val="Текст выноски Знак"/>
    <w:basedOn w:val="782"/>
    <w:link w:val="956"/>
    <w:uiPriority w:val="99"/>
    <w:rPr>
      <w:rFonts w:ascii="Tahoma" w:hAnsi="Tahoma" w:eastAsia="Times New Roman" w:cs="Tahoma"/>
      <w:sz w:val="16"/>
      <w:szCs w:val="16"/>
      <w:lang w:eastAsia="ru-RU"/>
    </w:rPr>
  </w:style>
  <w:style w:type="character" w:styleId="958" w:customStyle="1">
    <w:name w:val="match"/>
    <w:basedOn w:val="782"/>
  </w:style>
  <w:style w:type="paragraph" w:styleId="959" w:customStyle="1">
    <w:name w:val=".FORMATTEXT"/>
    <w:uiPriority w:val="99"/>
    <w:pPr>
      <w:ind w:firstLine="0"/>
      <w:jc w:val="left"/>
      <w:spacing w:line="240" w:lineRule="auto"/>
      <w:widowControl w:val="off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character" w:styleId="960" w:customStyle="1">
    <w:name w:val="apple-converted-space"/>
    <w:basedOn w:val="782"/>
  </w:style>
  <w:style w:type="paragraph" w:styleId="961" w:customStyle="1">
    <w:name w:val="formattext"/>
    <w:basedOn w:val="772"/>
    <w:pPr>
      <w:spacing w:before="100" w:beforeAutospacing="1" w:after="100" w:afterAutospacing="1"/>
    </w:pPr>
  </w:style>
  <w:style w:type="paragraph" w:styleId="962">
    <w:name w:val="List Paragraph"/>
    <w:basedOn w:val="772"/>
    <w:link w:val="992"/>
    <w:uiPriority w:val="34"/>
    <w:qFormat/>
    <w:pPr>
      <w:contextualSpacing/>
      <w:ind w:left="72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963" w:customStyle="1">
    <w:name w:val="."/>
    <w:uiPriority w:val="99"/>
    <w:pPr>
      <w:ind w:firstLine="0"/>
      <w:jc w:val="left"/>
      <w:spacing w:line="240" w:lineRule="auto"/>
      <w:widowControl w:val="off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styleId="964">
    <w:name w:val="footnote text"/>
    <w:basedOn w:val="772"/>
    <w:link w:val="965"/>
    <w:uiPriority w:val="99"/>
    <w:semiHidden/>
    <w:rPr>
      <w:sz w:val="20"/>
      <w:szCs w:val="20"/>
    </w:rPr>
  </w:style>
  <w:style w:type="character" w:styleId="965" w:customStyle="1">
    <w:name w:val="Текст сноски Знак"/>
    <w:basedOn w:val="782"/>
    <w:link w:val="964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66">
    <w:name w:val="footnote reference"/>
    <w:uiPriority w:val="99"/>
    <w:semiHidden/>
    <w:rPr>
      <w:vertAlign w:val="superscript"/>
    </w:rPr>
  </w:style>
  <w:style w:type="paragraph" w:styleId="967" w:customStyle="1">
    <w:name w:val="Default"/>
    <w:pPr>
      <w:ind w:firstLine="0"/>
      <w:jc w:val="left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968" w:customStyle="1">
    <w:name w:val="Гипертекстовая ссылка"/>
    <w:basedOn w:val="782"/>
    <w:uiPriority w:val="99"/>
    <w:rPr>
      <w:rFonts w:hint="default" w:ascii="Times New Roman" w:hAnsi="Times New Roman" w:cs="Times New Roman"/>
      <w:b w:val="0"/>
      <w:bCs w:val="0"/>
      <w:color w:val="000000"/>
      <w:sz w:val="26"/>
    </w:rPr>
  </w:style>
  <w:style w:type="paragraph" w:styleId="969">
    <w:name w:val="Normal (Web)"/>
    <w:basedOn w:val="772"/>
    <w:uiPriority w:val="99"/>
    <w:unhideWhenUsed/>
    <w:pPr>
      <w:spacing w:before="240" w:after="240"/>
    </w:pPr>
    <w:rPr>
      <w:color w:val="252525"/>
    </w:rPr>
  </w:style>
  <w:style w:type="paragraph" w:styleId="970">
    <w:name w:val="Footer"/>
    <w:basedOn w:val="772"/>
    <w:link w:val="97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71" w:customStyle="1">
    <w:name w:val="Нижний колонтитул Знак"/>
    <w:basedOn w:val="782"/>
    <w:link w:val="970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2" w:customStyle="1">
    <w:name w:val="ConsPlusCell"/>
    <w:uiPriority w:val="99"/>
    <w:pPr>
      <w:ind w:firstLine="0"/>
      <w:jc w:val="left"/>
      <w:spacing w:line="240" w:lineRule="auto"/>
    </w:pPr>
    <w:rPr>
      <w:rFonts w:ascii="Arial" w:hAnsi="Arial" w:cs="Arial"/>
      <w:sz w:val="24"/>
      <w:szCs w:val="24"/>
    </w:rPr>
  </w:style>
  <w:style w:type="paragraph" w:styleId="973" w:customStyle="1">
    <w:name w:val="ConsPlusNormal"/>
    <w:pPr>
      <w:ind w:firstLine="0"/>
      <w:jc w:val="left"/>
      <w:spacing w:line="240" w:lineRule="auto"/>
      <w:widowControl w:val="off"/>
    </w:pPr>
    <w:rPr>
      <w:rFonts w:ascii="Arial" w:hAnsi="Arial" w:cs="Arial" w:eastAsiaTheme="minorEastAsia"/>
      <w:sz w:val="20"/>
      <w:szCs w:val="20"/>
      <w:lang w:eastAsia="ru-RU"/>
    </w:rPr>
  </w:style>
  <w:style w:type="character" w:styleId="974">
    <w:name w:val="FollowedHyperlink"/>
    <w:basedOn w:val="782"/>
    <w:uiPriority w:val="99"/>
    <w:semiHidden/>
    <w:unhideWhenUsed/>
    <w:rPr>
      <w:color w:val="800080" w:themeColor="followedHyperlink"/>
      <w:u w:val="single"/>
    </w:rPr>
  </w:style>
  <w:style w:type="paragraph" w:styleId="975" w:customStyle="1">
    <w:name w:val="headertext"/>
    <w:basedOn w:val="772"/>
    <w:pPr>
      <w:spacing w:before="100" w:beforeAutospacing="1" w:after="100" w:afterAutospacing="1"/>
    </w:pPr>
  </w:style>
  <w:style w:type="paragraph" w:styleId="976">
    <w:name w:val="toa heading"/>
    <w:basedOn w:val="772"/>
    <w:next w:val="772"/>
    <w:uiPriority w:val="99"/>
    <w:semiHidden/>
    <w:unhideWhenUsed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977">
    <w:name w:val="No Spacing"/>
    <w:uiPriority w:val="1"/>
    <w:qFormat/>
    <w:pPr>
      <w:ind w:firstLine="0"/>
      <w:jc w:val="left"/>
      <w:spacing w:line="240" w:lineRule="auto"/>
    </w:pPr>
  </w:style>
  <w:style w:type="paragraph" w:styleId="978">
    <w:name w:val="Revision"/>
    <w:hidden/>
    <w:uiPriority w:val="99"/>
    <w:semiHidden/>
    <w:pPr>
      <w:ind w:firstLine="0"/>
      <w:jc w:val="left"/>
      <w:spacing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9">
    <w:name w:val="Body Text Indent 3"/>
    <w:basedOn w:val="772"/>
    <w:link w:val="980"/>
    <w:pPr>
      <w:ind w:left="283"/>
      <w:spacing w:after="120"/>
    </w:pPr>
    <w:rPr>
      <w:sz w:val="16"/>
      <w:szCs w:val="16"/>
    </w:rPr>
  </w:style>
  <w:style w:type="character" w:styleId="980" w:customStyle="1">
    <w:name w:val="Основной текст с отступом 3 Знак"/>
    <w:basedOn w:val="782"/>
    <w:link w:val="97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981">
    <w:name w:val="endnote text"/>
    <w:basedOn w:val="772"/>
    <w:link w:val="982"/>
    <w:uiPriority w:val="99"/>
    <w:semiHidden/>
    <w:unhideWhenUsed/>
    <w:rPr>
      <w:sz w:val="20"/>
      <w:szCs w:val="20"/>
    </w:rPr>
  </w:style>
  <w:style w:type="character" w:styleId="982" w:customStyle="1">
    <w:name w:val="Текст концевой сноски Знак"/>
    <w:basedOn w:val="782"/>
    <w:link w:val="981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83">
    <w:name w:val="endnote reference"/>
    <w:basedOn w:val="782"/>
    <w:uiPriority w:val="99"/>
    <w:semiHidden/>
    <w:unhideWhenUsed/>
    <w:rPr>
      <w:vertAlign w:val="superscript"/>
    </w:rPr>
  </w:style>
  <w:style w:type="character" w:styleId="984" w:customStyle="1">
    <w:name w:val="Основной текст Знак1"/>
    <w:basedOn w:val="782"/>
    <w:uiPriority w:val="99"/>
    <w:rPr>
      <w:rFonts w:hint="default" w:ascii="Arial" w:hAnsi="Arial" w:cs="Arial"/>
      <w:shd w:val="clear" w:color="auto" w:fill="ffffff"/>
    </w:rPr>
  </w:style>
  <w:style w:type="character" w:styleId="985">
    <w:name w:val="Strong"/>
    <w:basedOn w:val="782"/>
    <w:uiPriority w:val="22"/>
    <w:qFormat/>
    <w:rPr>
      <w:b/>
      <w:bCs/>
    </w:rPr>
  </w:style>
  <w:style w:type="paragraph" w:styleId="986">
    <w:name w:val="Body Text"/>
    <w:basedOn w:val="772"/>
    <w:link w:val="987"/>
    <w:uiPriority w:val="99"/>
    <w:unhideWhenUsed/>
    <w:pPr>
      <w:spacing w:after="120"/>
    </w:pPr>
  </w:style>
  <w:style w:type="character" w:styleId="987" w:customStyle="1">
    <w:name w:val="Основной текст Знак"/>
    <w:basedOn w:val="782"/>
    <w:link w:val="986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88" w:customStyle="1">
    <w:name w:val="ConsNonformat"/>
    <w:pPr>
      <w:ind w:firstLine="0"/>
      <w:jc w:val="left"/>
      <w:spacing w:line="240" w:lineRule="auto"/>
    </w:pPr>
    <w:rPr>
      <w:rFonts w:ascii="Consultant" w:hAnsi="Consultant" w:eastAsia="Times New Roman" w:cs="Times New Roman"/>
      <w:sz w:val="20"/>
      <w:szCs w:val="20"/>
    </w:rPr>
  </w:style>
  <w:style w:type="character" w:styleId="989" w:customStyle="1">
    <w:name w:val="Стиль вставки"/>
    <w:basedOn w:val="782"/>
    <w:uiPriority w:val="1"/>
    <w:qFormat/>
    <w:rPr>
      <w:rFonts w:ascii="Tahoma" w:hAnsi="Tahoma"/>
      <w:color w:val="000000" w:themeColor="text1"/>
      <w:sz w:val="20"/>
    </w:rPr>
  </w:style>
  <w:style w:type="paragraph" w:styleId="990" w:customStyle="1">
    <w:name w:val="Стиль1"/>
    <w:basedOn w:val="772"/>
    <w:link w:val="991"/>
    <w:pPr>
      <w:jc w:val="both"/>
      <w:spacing w:after="120"/>
      <w:tabs>
        <w:tab w:val="left" w:pos="902" w:leader="none"/>
      </w:tabs>
    </w:pPr>
    <w:rPr>
      <w:rFonts w:ascii="Arial" w:hAnsi="Arial"/>
      <w:sz w:val="22"/>
      <w:szCs w:val="20"/>
    </w:rPr>
  </w:style>
  <w:style w:type="character" w:styleId="991" w:customStyle="1">
    <w:name w:val="Стиль1 Char"/>
    <w:basedOn w:val="782"/>
    <w:link w:val="990"/>
    <w:rPr>
      <w:rFonts w:ascii="Arial" w:hAnsi="Arial" w:eastAsia="Times New Roman" w:cs="Times New Roman"/>
      <w:szCs w:val="20"/>
      <w:lang w:eastAsia="ru-RU"/>
    </w:rPr>
  </w:style>
  <w:style w:type="character" w:styleId="992" w:customStyle="1">
    <w:name w:val="Абзац списка Знак"/>
    <w:link w:val="962"/>
    <w:uiPriority w:val="34"/>
  </w:style>
  <w:style w:type="paragraph" w:styleId="993" w:customStyle="1">
    <w:name w:val="Style1"/>
    <w:basedOn w:val="772"/>
    <w:pPr>
      <w:jc w:val="both"/>
      <w:spacing w:line="324" w:lineRule="exact"/>
      <w:widowControl w:val="off"/>
    </w:pPr>
  </w:style>
  <w:style w:type="character" w:styleId="994" w:customStyle="1">
    <w:name w:val="Заголовок 4 Знак"/>
    <w:basedOn w:val="782"/>
    <w:link w:val="776"/>
    <w:uiPriority w:val="9"/>
    <w:semiHidden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995">
    <w:name w:val="Body Text Indent"/>
    <w:basedOn w:val="772"/>
    <w:link w:val="996"/>
    <w:uiPriority w:val="99"/>
    <w:semiHidden/>
    <w:unhideWhenUsed/>
    <w:pPr>
      <w:ind w:left="283"/>
      <w:spacing w:after="120"/>
    </w:pPr>
  </w:style>
  <w:style w:type="character" w:styleId="996" w:customStyle="1">
    <w:name w:val="Основной текст с отступом Знак"/>
    <w:basedOn w:val="782"/>
    <w:link w:val="995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97" w:customStyle="1">
    <w:name w:val="Font Style159"/>
    <w:rPr>
      <w:rFonts w:ascii="Times New Roman" w:hAnsi="Times New Roman" w:cs="Times New Roman"/>
      <w:color w:val="000000"/>
      <w:sz w:val="24"/>
      <w:szCs w:val="24"/>
    </w:rPr>
  </w:style>
  <w:style w:type="paragraph" w:styleId="998" w:customStyle="1">
    <w:name w:val="Style9"/>
    <w:basedOn w:val="772"/>
    <w:pPr>
      <w:jc w:val="both"/>
      <w:widowControl w:val="off"/>
    </w:pPr>
  </w:style>
  <w:style w:type="table" w:styleId="999" w:customStyle="1">
    <w:name w:val="Сетка таблицы2"/>
    <w:basedOn w:val="783"/>
    <w:next w:val="942"/>
    <w:pPr>
      <w:ind w:firstLine="0"/>
      <w:jc w:val="left"/>
      <w:spacing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00" w:customStyle="1">
    <w:name w:val="ConsNormal"/>
    <w:pPr>
      <w:ind w:right="19772" w:firstLine="720"/>
      <w:jc w:val="left"/>
      <w:spacing w:line="240" w:lineRule="auto"/>
    </w:pPr>
    <w:rPr>
      <w:rFonts w:ascii="Arial" w:hAnsi="Arial" w:eastAsia="Times New Roman" w:cs="Times New Roman"/>
      <w:sz w:val="32"/>
      <w:szCs w:val="20"/>
    </w:rPr>
  </w:style>
  <w:style w:type="paragraph" w:styleId="1001">
    <w:name w:val="Body Text Indent 2"/>
    <w:basedOn w:val="772"/>
    <w:link w:val="1002"/>
    <w:uiPriority w:val="99"/>
    <w:unhideWhenUsed/>
    <w:pPr>
      <w:ind w:left="708"/>
      <w:jc w:val="both"/>
      <w:spacing w:after="160"/>
    </w:pPr>
    <w:rPr>
      <w:rFonts w:eastAsiaTheme="minorHAnsi"/>
      <w:lang w:eastAsia="en-US"/>
    </w:rPr>
  </w:style>
  <w:style w:type="character" w:styleId="1002" w:customStyle="1">
    <w:name w:val="Основной текст с отступом 2 Знак"/>
    <w:basedOn w:val="782"/>
    <w:link w:val="1001"/>
    <w:uiPriority w:val="99"/>
    <w:rPr>
      <w:rFonts w:ascii="Times New Roman" w:hAnsi="Times New Roman" w:cs="Times New Roman"/>
      <w:sz w:val="24"/>
      <w:szCs w:val="24"/>
    </w:rPr>
  </w:style>
  <w:style w:type="character" w:styleId="1003" w:customStyle="1">
    <w:name w:val="Заголовок 2 Знак"/>
    <w:basedOn w:val="782"/>
    <w:link w:val="774"/>
    <w:uiPriority w:val="9"/>
    <w:rPr>
      <w:rFonts w:ascii="Times New Roman" w:hAnsi="Times New Roman" w:eastAsia="Times New Roman" w:cs="Times New Roman"/>
      <w:b/>
      <w:bCs/>
      <w:iCs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23C3A-257F-4017-948B-4A245A7AF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Inter RAO UES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 Сергей Михайлович</dc:creator>
  <cp:lastModifiedBy>zakharov_sm</cp:lastModifiedBy>
  <cp:revision>7</cp:revision>
  <dcterms:created xsi:type="dcterms:W3CDTF">2025-05-14T10:40:00Z</dcterms:created>
  <dcterms:modified xsi:type="dcterms:W3CDTF">2026-06-02T04:32:33Z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SE_Zakharov_SM</vt:lpwstr>
  </property>
  <property fmtid="{D5CDD505-2E9C-101B-9397-08002B2CF9AE}" pid="3" name="CustomObjectId">
    <vt:lpwstr/>
  </property>
  <property fmtid="{D5CDD505-2E9C-101B-9397-08002B2CF9AE}" pid="4" name="CustomServerURL">
    <vt:lpwstr/>
  </property>
  <property fmtid="{D5CDD505-2E9C-101B-9397-08002B2CF9AE}" pid="5" name="CustomUserId">
    <vt:lpwstr/>
  </property>
  <property fmtid="{D5CDD505-2E9C-101B-9397-08002B2CF9AE}" pid="6" name="CustomObjectState">
    <vt:lpwstr/>
  </property>
  <property fmtid="{D5CDD505-2E9C-101B-9397-08002B2CF9AE}" pid="7" name="magic_key">
    <vt:lpwstr/>
  </property>
  <property fmtid="{D5CDD505-2E9C-101B-9397-08002B2CF9AE}" pid="8" name="ConfirmationToolBarEnabled">
    <vt:lpwstr/>
  </property>
  <property fmtid="{D5CDD505-2E9C-101B-9397-08002B2CF9AE}" pid="9" name="MacrosVersion">
    <vt:lpwstr>1.3</vt:lpwstr>
  </property>
  <property fmtid="{D5CDD505-2E9C-101B-9397-08002B2CF9AE}" pid="10" name="serverUrlMacrosCheckIn">
    <vt:lpwstr/>
  </property>
  <property fmtid="{D5CDD505-2E9C-101B-9397-08002B2CF9AE}" pid="11" name="MacrosDisabled">
    <vt:lpwstr/>
  </property>
  <property fmtid="{D5CDD505-2E9C-101B-9397-08002B2CF9AE}" pid="12" name="localFileProperties">
    <vt:lpwstr/>
  </property>
</Properties>
</file>