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658" w:rsidRDefault="00D11658">
      <w:pPr>
        <w:keepNext/>
        <w:jc w:val="center"/>
        <w:outlineLvl w:val="0"/>
        <w:rPr>
          <w:b/>
          <w:sz w:val="22"/>
          <w:szCs w:val="22"/>
        </w:rPr>
      </w:pPr>
    </w:p>
    <w:p w:rsidR="00CA2335" w:rsidRPr="003E6780" w:rsidRDefault="00C55F1B">
      <w:pPr>
        <w:keepNext/>
        <w:jc w:val="center"/>
        <w:outlineLvl w:val="0"/>
        <w:rPr>
          <w:b/>
          <w:sz w:val="22"/>
          <w:szCs w:val="22"/>
        </w:rPr>
      </w:pPr>
      <w:r w:rsidRPr="003E6780">
        <w:rPr>
          <w:b/>
          <w:sz w:val="22"/>
          <w:szCs w:val="22"/>
        </w:rPr>
        <w:t>Публичное акционерное общество «Саратовэнерго»</w:t>
      </w:r>
    </w:p>
    <w:p w:rsidR="00CA2335" w:rsidRPr="003E6780" w:rsidRDefault="00C55F1B">
      <w:pPr>
        <w:keepNext/>
        <w:jc w:val="center"/>
        <w:outlineLvl w:val="0"/>
        <w:rPr>
          <w:b/>
          <w:sz w:val="22"/>
          <w:szCs w:val="22"/>
        </w:rPr>
      </w:pPr>
      <w:r w:rsidRPr="003E6780">
        <w:rPr>
          <w:b/>
          <w:sz w:val="22"/>
          <w:szCs w:val="22"/>
        </w:rPr>
        <w:t>Саратовская область, г. Саратов</w:t>
      </w:r>
    </w:p>
    <w:p w:rsidR="00CA2335" w:rsidRPr="003E6780" w:rsidRDefault="00CA2335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CA2335" w:rsidRPr="003E6780" w:rsidRDefault="00C55F1B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3E6780">
        <w:rPr>
          <w:rFonts w:ascii="Times New Roman" w:hAnsi="Times New Roman"/>
          <w:b/>
          <w:sz w:val="22"/>
          <w:szCs w:val="22"/>
        </w:rPr>
        <w:t xml:space="preserve">Сообщение </w:t>
      </w:r>
    </w:p>
    <w:p w:rsidR="00CA2335" w:rsidRPr="003E6780" w:rsidRDefault="00C55F1B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3E6780">
        <w:rPr>
          <w:rFonts w:ascii="Times New Roman" w:hAnsi="Times New Roman"/>
          <w:b/>
          <w:sz w:val="22"/>
          <w:szCs w:val="22"/>
        </w:rPr>
        <w:t xml:space="preserve">о проведении </w:t>
      </w:r>
      <w:r w:rsidR="00716A19" w:rsidRPr="003E6780">
        <w:rPr>
          <w:rFonts w:ascii="Times New Roman" w:hAnsi="Times New Roman"/>
          <w:b/>
          <w:sz w:val="22"/>
          <w:szCs w:val="22"/>
        </w:rPr>
        <w:t>внеочередного</w:t>
      </w:r>
      <w:r w:rsidRPr="003E6780">
        <w:rPr>
          <w:rFonts w:ascii="Times New Roman" w:hAnsi="Times New Roman"/>
          <w:b/>
          <w:sz w:val="22"/>
          <w:szCs w:val="22"/>
        </w:rPr>
        <w:t xml:space="preserve"> заседания для принятия решений Общим собранием акционеров ПАО «Саратовэнерго», голосование на котором совмещается с заочным голосованием</w:t>
      </w:r>
    </w:p>
    <w:p w:rsidR="00CA2335" w:rsidRPr="003E6780" w:rsidRDefault="00CA2335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CA2335" w:rsidRPr="003E6780" w:rsidRDefault="00C55F1B">
      <w:pPr>
        <w:tabs>
          <w:tab w:val="left" w:pos="0"/>
          <w:tab w:val="left" w:pos="1134"/>
        </w:tabs>
        <w:jc w:val="center"/>
        <w:rPr>
          <w:b/>
          <w:sz w:val="22"/>
          <w:szCs w:val="22"/>
        </w:rPr>
      </w:pPr>
      <w:r w:rsidRPr="003E6780">
        <w:rPr>
          <w:b/>
          <w:sz w:val="22"/>
          <w:szCs w:val="22"/>
        </w:rPr>
        <w:t>Уважаемый акционер!</w:t>
      </w:r>
    </w:p>
    <w:p w:rsidR="00CA2335" w:rsidRPr="003E6780" w:rsidRDefault="00CA2335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</w:p>
    <w:p w:rsidR="00A9326A" w:rsidRPr="003E6780" w:rsidRDefault="00C55F1B" w:rsidP="00F2319E">
      <w:pPr>
        <w:pStyle w:val="af7"/>
        <w:tabs>
          <w:tab w:val="clear" w:pos="540"/>
        </w:tabs>
        <w:ind w:firstLine="540"/>
        <w:jc w:val="center"/>
        <w:rPr>
          <w:sz w:val="22"/>
          <w:szCs w:val="22"/>
        </w:rPr>
      </w:pPr>
      <w:r w:rsidRPr="003E6780">
        <w:rPr>
          <w:sz w:val="22"/>
          <w:szCs w:val="22"/>
        </w:rPr>
        <w:t xml:space="preserve">Публичное акционерное общество «Саратовэнерго» (далее – Общество) сообщает о проведении </w:t>
      </w:r>
      <w:r w:rsidR="00716A19" w:rsidRPr="003E6780">
        <w:rPr>
          <w:sz w:val="22"/>
          <w:szCs w:val="22"/>
        </w:rPr>
        <w:t>внеочередного</w:t>
      </w:r>
      <w:r w:rsidRPr="003E6780">
        <w:rPr>
          <w:sz w:val="22"/>
          <w:szCs w:val="22"/>
        </w:rPr>
        <w:t xml:space="preserve"> заседания для принятия решений Общим собранием акционеров ПАО «Саратовэнерго», голосование на котором совмещается с заочным голосованием</w:t>
      </w:r>
    </w:p>
    <w:p w:rsidR="00A9326A" w:rsidRPr="003E6780" w:rsidRDefault="00C55F1B" w:rsidP="00A9326A">
      <w:pPr>
        <w:pStyle w:val="af7"/>
        <w:tabs>
          <w:tab w:val="clear" w:pos="540"/>
        </w:tabs>
        <w:ind w:firstLine="540"/>
        <w:jc w:val="center"/>
        <w:rPr>
          <w:sz w:val="22"/>
          <w:szCs w:val="22"/>
        </w:rPr>
      </w:pPr>
      <w:r w:rsidRPr="003E6780">
        <w:rPr>
          <w:sz w:val="22"/>
          <w:szCs w:val="22"/>
        </w:rPr>
        <w:t>(</w:t>
      </w:r>
      <w:r w:rsidR="00716A19" w:rsidRPr="003E6780">
        <w:rPr>
          <w:sz w:val="22"/>
          <w:szCs w:val="22"/>
        </w:rPr>
        <w:t>далее - внеочередное</w:t>
      </w:r>
      <w:r w:rsidRPr="003E6780">
        <w:rPr>
          <w:sz w:val="22"/>
          <w:szCs w:val="22"/>
        </w:rPr>
        <w:t xml:space="preserve"> заседание Общего собрания акционеров)</w:t>
      </w:r>
    </w:p>
    <w:p w:rsidR="00CA2335" w:rsidRPr="003E6780" w:rsidRDefault="00CA2335">
      <w:pPr>
        <w:pStyle w:val="af7"/>
        <w:tabs>
          <w:tab w:val="clear" w:pos="540"/>
        </w:tabs>
        <w:ind w:firstLine="540"/>
        <w:rPr>
          <w:i/>
          <w:sz w:val="22"/>
          <w:szCs w:val="22"/>
        </w:rPr>
      </w:pPr>
    </w:p>
    <w:tbl>
      <w:tblPr>
        <w:tblpPr w:leftFromText="180" w:rightFromText="180" w:vertAnchor="text" w:horzAnchor="margin" w:tblpX="47" w:tblpY="85"/>
        <w:tblW w:w="10429" w:type="dxa"/>
        <w:tblLook w:val="0000" w:firstRow="0" w:lastRow="0" w:firstColumn="0" w:lastColumn="0" w:noHBand="0" w:noVBand="0"/>
      </w:tblPr>
      <w:tblGrid>
        <w:gridCol w:w="5778"/>
        <w:gridCol w:w="4651"/>
      </w:tblGrid>
      <w:tr w:rsidR="00CA2335" w:rsidRPr="003E6780">
        <w:tc>
          <w:tcPr>
            <w:tcW w:w="5778" w:type="dxa"/>
            <w:vAlign w:val="bottom"/>
          </w:tcPr>
          <w:p w:rsidR="00CA2335" w:rsidRPr="003E6780" w:rsidRDefault="00C55F1B" w:rsidP="00DA2689">
            <w:pPr>
              <w:tabs>
                <w:tab w:val="left" w:pos="49"/>
              </w:tabs>
              <w:spacing w:after="120"/>
              <w:ind w:left="-113"/>
              <w:contextualSpacing/>
              <w:jc w:val="both"/>
              <w:rPr>
                <w:sz w:val="22"/>
                <w:szCs w:val="22"/>
              </w:rPr>
            </w:pPr>
            <w:r w:rsidRPr="003E6780">
              <w:rPr>
                <w:sz w:val="22"/>
                <w:szCs w:val="22"/>
              </w:rPr>
              <w:t>Способ принятия решений Общим собранием акционеров Общества</w:t>
            </w:r>
            <w:r w:rsidR="003E6780">
              <w:rPr>
                <w:sz w:val="22"/>
                <w:szCs w:val="22"/>
              </w:rPr>
              <w:t>:</w:t>
            </w:r>
          </w:p>
          <w:p w:rsidR="00CA2335" w:rsidRPr="003E6780" w:rsidRDefault="00CA2335" w:rsidP="00C55F1B">
            <w:pPr>
              <w:tabs>
                <w:tab w:val="left" w:pos="49"/>
              </w:tabs>
              <w:spacing w:after="120"/>
              <w:ind w:left="-113"/>
              <w:contextualSpacing/>
              <w:rPr>
                <w:sz w:val="22"/>
                <w:szCs w:val="22"/>
              </w:rPr>
            </w:pPr>
          </w:p>
        </w:tc>
        <w:tc>
          <w:tcPr>
            <w:tcW w:w="4651" w:type="dxa"/>
            <w:vAlign w:val="bottom"/>
          </w:tcPr>
          <w:p w:rsidR="00CA2335" w:rsidRPr="003E6780" w:rsidRDefault="00C55F1B" w:rsidP="00C55F1B">
            <w:pPr>
              <w:tabs>
                <w:tab w:val="left" w:pos="1276"/>
              </w:tabs>
              <w:spacing w:after="120"/>
              <w:contextualSpacing/>
              <w:rPr>
                <w:b/>
                <w:sz w:val="22"/>
                <w:szCs w:val="22"/>
              </w:rPr>
            </w:pPr>
            <w:r w:rsidRPr="003E6780">
              <w:rPr>
                <w:b/>
                <w:sz w:val="22"/>
                <w:szCs w:val="22"/>
              </w:rPr>
              <w:t>Заседание</w:t>
            </w:r>
          </w:p>
          <w:p w:rsidR="00CA2335" w:rsidRPr="003E6780" w:rsidRDefault="00CA2335" w:rsidP="00C55F1B">
            <w:pPr>
              <w:tabs>
                <w:tab w:val="left" w:pos="1276"/>
              </w:tabs>
              <w:spacing w:after="120"/>
              <w:contextualSpacing/>
              <w:rPr>
                <w:b/>
                <w:sz w:val="22"/>
                <w:szCs w:val="22"/>
              </w:rPr>
            </w:pPr>
          </w:p>
        </w:tc>
      </w:tr>
      <w:tr w:rsidR="00CA2335" w:rsidRPr="003E6780">
        <w:tc>
          <w:tcPr>
            <w:tcW w:w="5778" w:type="dxa"/>
          </w:tcPr>
          <w:p w:rsidR="00CA2335" w:rsidRPr="003E6780" w:rsidRDefault="00716A19" w:rsidP="00DA2689">
            <w:pPr>
              <w:tabs>
                <w:tab w:val="left" w:pos="49"/>
                <w:tab w:val="left" w:pos="3664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3E6780">
              <w:rPr>
                <w:sz w:val="22"/>
                <w:szCs w:val="22"/>
              </w:rPr>
              <w:t>Дата и время проведения внеочередного</w:t>
            </w:r>
            <w:r w:rsidR="00C55F1B" w:rsidRPr="003E6780">
              <w:rPr>
                <w:sz w:val="22"/>
                <w:szCs w:val="22"/>
              </w:rPr>
              <w:t xml:space="preserve"> заседания Общего собрания акционеров Общества</w:t>
            </w:r>
            <w:r w:rsidR="003E6780">
              <w:rPr>
                <w:sz w:val="22"/>
                <w:szCs w:val="22"/>
              </w:rPr>
              <w:t>:</w:t>
            </w:r>
          </w:p>
        </w:tc>
        <w:tc>
          <w:tcPr>
            <w:tcW w:w="4651" w:type="dxa"/>
          </w:tcPr>
          <w:p w:rsidR="00CA2335" w:rsidRPr="003E6780" w:rsidRDefault="00716A19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  <w:r w:rsidRPr="003E6780">
              <w:rPr>
                <w:b/>
                <w:sz w:val="22"/>
                <w:szCs w:val="22"/>
              </w:rPr>
              <w:t>09 сентября</w:t>
            </w:r>
            <w:r w:rsidR="009138BA" w:rsidRPr="003E6780">
              <w:rPr>
                <w:b/>
                <w:sz w:val="22"/>
                <w:szCs w:val="22"/>
              </w:rPr>
              <w:t xml:space="preserve"> </w:t>
            </w:r>
            <w:r w:rsidR="00C55F1B" w:rsidRPr="003E6780">
              <w:rPr>
                <w:b/>
                <w:sz w:val="22"/>
                <w:szCs w:val="22"/>
              </w:rPr>
              <w:t xml:space="preserve">2025 </w:t>
            </w:r>
            <w:r w:rsidR="00E93FBB" w:rsidRPr="003E6780">
              <w:rPr>
                <w:b/>
                <w:sz w:val="22"/>
                <w:szCs w:val="22"/>
              </w:rPr>
              <w:t xml:space="preserve">года </w:t>
            </w:r>
            <w:r w:rsidR="00C55F1B" w:rsidRPr="003E6780">
              <w:rPr>
                <w:b/>
                <w:sz w:val="22"/>
                <w:szCs w:val="22"/>
              </w:rPr>
              <w:t xml:space="preserve">в </w:t>
            </w:r>
            <w:r w:rsidR="00DE1F97" w:rsidRPr="003E6780">
              <w:rPr>
                <w:b/>
                <w:sz w:val="22"/>
                <w:szCs w:val="22"/>
              </w:rPr>
              <w:t>11</w:t>
            </w:r>
            <w:r w:rsidR="00C55F1B" w:rsidRPr="003E6780">
              <w:rPr>
                <w:b/>
                <w:sz w:val="22"/>
                <w:szCs w:val="22"/>
              </w:rPr>
              <w:t xml:space="preserve"> часов 00 минут по местному времени</w:t>
            </w:r>
          </w:p>
        </w:tc>
      </w:tr>
      <w:tr w:rsidR="00CA2335" w:rsidRPr="003E6780">
        <w:tc>
          <w:tcPr>
            <w:tcW w:w="5778" w:type="dxa"/>
          </w:tcPr>
          <w:p w:rsidR="00CA2335" w:rsidRPr="003E6780" w:rsidRDefault="00CA2335" w:rsidP="00C55F1B">
            <w:pPr>
              <w:tabs>
                <w:tab w:val="left" w:pos="49"/>
                <w:tab w:val="left" w:pos="3664"/>
              </w:tabs>
              <w:ind w:left="-113" w:right="-57"/>
              <w:rPr>
                <w:sz w:val="22"/>
                <w:szCs w:val="22"/>
              </w:rPr>
            </w:pPr>
          </w:p>
          <w:p w:rsidR="00CA2335" w:rsidRPr="003E6780" w:rsidRDefault="00C55F1B" w:rsidP="003E6780">
            <w:pPr>
              <w:tabs>
                <w:tab w:val="left" w:pos="49"/>
                <w:tab w:val="left" w:pos="3664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3E6780">
              <w:rPr>
                <w:sz w:val="22"/>
                <w:szCs w:val="22"/>
              </w:rPr>
              <w:t xml:space="preserve">Время начала регистрации лиц, имеющих право голоса при принятии решений Общим собранием акционеров Общества: </w:t>
            </w:r>
          </w:p>
          <w:p w:rsidR="00CA2335" w:rsidRPr="003E6780" w:rsidRDefault="00CA2335" w:rsidP="00C55F1B">
            <w:pPr>
              <w:tabs>
                <w:tab w:val="left" w:pos="49"/>
                <w:tab w:val="left" w:pos="3664"/>
              </w:tabs>
              <w:ind w:left="-113" w:right="-57"/>
              <w:rPr>
                <w:sz w:val="22"/>
                <w:szCs w:val="22"/>
              </w:rPr>
            </w:pPr>
          </w:p>
          <w:p w:rsidR="00CA2335" w:rsidRPr="003E6780" w:rsidRDefault="00716A19" w:rsidP="00DA2689">
            <w:pPr>
              <w:tabs>
                <w:tab w:val="left" w:pos="49"/>
                <w:tab w:val="left" w:pos="3664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3E6780">
              <w:rPr>
                <w:sz w:val="22"/>
                <w:szCs w:val="22"/>
              </w:rPr>
              <w:t>Место проведения внеочередного</w:t>
            </w:r>
            <w:r w:rsidR="00C55F1B" w:rsidRPr="003E6780">
              <w:rPr>
                <w:sz w:val="22"/>
                <w:szCs w:val="22"/>
              </w:rPr>
              <w:t xml:space="preserve"> заседания Общего собрания акционеров Общества: </w:t>
            </w:r>
          </w:p>
        </w:tc>
        <w:tc>
          <w:tcPr>
            <w:tcW w:w="4651" w:type="dxa"/>
          </w:tcPr>
          <w:p w:rsidR="00CA2335" w:rsidRPr="003E6780" w:rsidRDefault="00CA2335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</w:p>
          <w:p w:rsidR="00CA2335" w:rsidRPr="003E6780" w:rsidRDefault="00BC4563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  <w:r w:rsidRPr="003E6780">
              <w:rPr>
                <w:b/>
                <w:sz w:val="22"/>
                <w:szCs w:val="22"/>
              </w:rPr>
              <w:t>10</w:t>
            </w:r>
            <w:r w:rsidR="00C55F1B" w:rsidRPr="003E6780">
              <w:rPr>
                <w:b/>
                <w:sz w:val="22"/>
                <w:szCs w:val="22"/>
              </w:rPr>
              <w:t xml:space="preserve"> часов 00 минут по местному времени</w:t>
            </w:r>
          </w:p>
          <w:p w:rsidR="00CA2335" w:rsidRPr="003E6780" w:rsidRDefault="00CA2335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</w:p>
          <w:p w:rsidR="00CA2335" w:rsidRPr="003E6780" w:rsidRDefault="00CA2335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</w:p>
          <w:p w:rsidR="00CA2335" w:rsidRPr="003E6780" w:rsidRDefault="00CA2335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</w:p>
          <w:p w:rsidR="00CA2335" w:rsidRPr="003E6780" w:rsidRDefault="00C55F1B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  <w:r w:rsidRPr="003E6780">
              <w:rPr>
                <w:b/>
                <w:sz w:val="22"/>
                <w:szCs w:val="22"/>
              </w:rPr>
              <w:t xml:space="preserve">г. </w:t>
            </w:r>
            <w:r w:rsidR="00945DD2" w:rsidRPr="003E6780">
              <w:rPr>
                <w:b/>
                <w:sz w:val="22"/>
                <w:szCs w:val="22"/>
              </w:rPr>
              <w:t xml:space="preserve">Саратов, </w:t>
            </w:r>
            <w:r w:rsidR="00945DD2" w:rsidRPr="003E6780">
              <w:rPr>
                <w:b/>
                <w:color w:val="000000"/>
                <w:sz w:val="22"/>
                <w:szCs w:val="22"/>
              </w:rPr>
              <w:t>ул.</w:t>
            </w:r>
            <w:r w:rsidR="00D133B0" w:rsidRPr="003E6780">
              <w:rPr>
                <w:b/>
                <w:sz w:val="22"/>
                <w:szCs w:val="22"/>
              </w:rPr>
              <w:t xml:space="preserve"> им. Мичурина И.В., д.166/168</w:t>
            </w:r>
          </w:p>
          <w:p w:rsidR="00CA2335" w:rsidRPr="003E6780" w:rsidRDefault="00CA2335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</w:p>
        </w:tc>
      </w:tr>
      <w:tr w:rsidR="00CA2335" w:rsidRPr="003E6780">
        <w:tc>
          <w:tcPr>
            <w:tcW w:w="5778" w:type="dxa"/>
          </w:tcPr>
          <w:p w:rsidR="00CA2335" w:rsidRPr="003E6780" w:rsidRDefault="00C55F1B" w:rsidP="00DA2689">
            <w:pPr>
              <w:tabs>
                <w:tab w:val="left" w:pos="49"/>
                <w:tab w:val="left" w:pos="3664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3E6780">
              <w:rPr>
                <w:sz w:val="22"/>
                <w:szCs w:val="22"/>
              </w:rPr>
              <w:t>Дата окончания приема бюллетеней для голосования (заканчивается за два дня до даты проведения заседания):</w:t>
            </w:r>
          </w:p>
        </w:tc>
        <w:tc>
          <w:tcPr>
            <w:tcW w:w="4651" w:type="dxa"/>
          </w:tcPr>
          <w:p w:rsidR="00CA2335" w:rsidRPr="003E6780" w:rsidRDefault="00CA2335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</w:p>
          <w:p w:rsidR="00CA2335" w:rsidRPr="003E6780" w:rsidRDefault="00716A19" w:rsidP="00C55F1B">
            <w:pPr>
              <w:tabs>
                <w:tab w:val="left" w:pos="3664"/>
              </w:tabs>
              <w:ind w:right="-57"/>
              <w:rPr>
                <w:b/>
                <w:sz w:val="22"/>
                <w:szCs w:val="22"/>
              </w:rPr>
            </w:pPr>
            <w:r w:rsidRPr="003E6780">
              <w:rPr>
                <w:b/>
                <w:sz w:val="22"/>
                <w:szCs w:val="22"/>
              </w:rPr>
              <w:t>06 сентября</w:t>
            </w:r>
            <w:r w:rsidR="00C55F1B" w:rsidRPr="003E6780">
              <w:rPr>
                <w:b/>
                <w:sz w:val="22"/>
                <w:szCs w:val="22"/>
              </w:rPr>
              <w:t xml:space="preserve"> 2025 года</w:t>
            </w:r>
          </w:p>
        </w:tc>
      </w:tr>
    </w:tbl>
    <w:p w:rsidR="00CA2335" w:rsidRPr="003E6780" w:rsidRDefault="00CA2335" w:rsidP="00C55F1B">
      <w:pPr>
        <w:pStyle w:val="af7"/>
        <w:tabs>
          <w:tab w:val="clear" w:pos="540"/>
        </w:tabs>
        <w:rPr>
          <w:sz w:val="22"/>
          <w:szCs w:val="22"/>
        </w:rPr>
      </w:pPr>
    </w:p>
    <w:p w:rsidR="00CA2335" w:rsidRPr="003E6780" w:rsidRDefault="00C55F1B" w:rsidP="00C55F1B">
      <w:pPr>
        <w:pStyle w:val="af7"/>
        <w:tabs>
          <w:tab w:val="clear" w:pos="540"/>
        </w:tabs>
        <w:rPr>
          <w:sz w:val="22"/>
          <w:szCs w:val="22"/>
        </w:rPr>
      </w:pPr>
      <w:r w:rsidRPr="003E6780">
        <w:rPr>
          <w:b w:val="0"/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 Общества:</w:t>
      </w:r>
      <w:r w:rsidR="00716A19" w:rsidRPr="003E6780">
        <w:rPr>
          <w:sz w:val="22"/>
          <w:szCs w:val="22"/>
        </w:rPr>
        <w:t xml:space="preserve"> 15 августа</w:t>
      </w:r>
      <w:r w:rsidRPr="003E6780">
        <w:rPr>
          <w:sz w:val="22"/>
          <w:szCs w:val="22"/>
        </w:rPr>
        <w:t xml:space="preserve"> 2025 года.</w:t>
      </w:r>
    </w:p>
    <w:p w:rsidR="00CA2335" w:rsidRPr="003E6780" w:rsidRDefault="00CA2335" w:rsidP="00C55F1B">
      <w:pPr>
        <w:pStyle w:val="af7"/>
        <w:tabs>
          <w:tab w:val="clear" w:pos="540"/>
        </w:tabs>
        <w:rPr>
          <w:b w:val="0"/>
          <w:sz w:val="22"/>
          <w:szCs w:val="22"/>
        </w:rPr>
      </w:pPr>
    </w:p>
    <w:p w:rsidR="00CA2335" w:rsidRPr="003E6780" w:rsidRDefault="00C55F1B" w:rsidP="00C55F1B">
      <w:pPr>
        <w:pStyle w:val="af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3E6780">
        <w:rPr>
          <w:sz w:val="22"/>
          <w:szCs w:val="22"/>
        </w:rPr>
        <w:t xml:space="preserve">Определить, что владельцы обыкновенных акций Общества и привилегированных акций Общества типа А Общества имеют право голоса по всем вопросам повестки дня </w:t>
      </w:r>
      <w:r w:rsidR="00E43667" w:rsidRPr="003E6780">
        <w:rPr>
          <w:sz w:val="22"/>
          <w:szCs w:val="22"/>
        </w:rPr>
        <w:t>внеочередного</w:t>
      </w:r>
      <w:r w:rsidRPr="003E6780">
        <w:rPr>
          <w:sz w:val="22"/>
          <w:szCs w:val="22"/>
        </w:rPr>
        <w:t xml:space="preserve"> </w:t>
      </w:r>
      <w:r w:rsidR="00256977" w:rsidRPr="003E6780">
        <w:rPr>
          <w:sz w:val="22"/>
          <w:szCs w:val="22"/>
        </w:rPr>
        <w:t xml:space="preserve">заседания </w:t>
      </w:r>
      <w:r w:rsidR="00A9326A" w:rsidRPr="003E6780">
        <w:rPr>
          <w:sz w:val="22"/>
          <w:szCs w:val="22"/>
        </w:rPr>
        <w:t>О</w:t>
      </w:r>
      <w:r w:rsidRPr="003E6780">
        <w:rPr>
          <w:sz w:val="22"/>
          <w:szCs w:val="22"/>
        </w:rPr>
        <w:t>бщего собрания акционеров.</w:t>
      </w:r>
    </w:p>
    <w:p w:rsidR="00CA2335" w:rsidRPr="003E6780" w:rsidRDefault="00CA2335">
      <w:pPr>
        <w:pStyle w:val="af7"/>
        <w:tabs>
          <w:tab w:val="clear" w:pos="540"/>
        </w:tabs>
        <w:ind w:right="-286"/>
        <w:rPr>
          <w:b w:val="0"/>
          <w:sz w:val="22"/>
          <w:szCs w:val="22"/>
        </w:rPr>
      </w:pPr>
    </w:p>
    <w:p w:rsidR="00CA2335" w:rsidRPr="003E6780" w:rsidRDefault="00C55F1B">
      <w:pPr>
        <w:pStyle w:val="af7"/>
        <w:tabs>
          <w:tab w:val="clear" w:pos="540"/>
        </w:tabs>
        <w:jc w:val="center"/>
        <w:rPr>
          <w:sz w:val="22"/>
          <w:szCs w:val="22"/>
        </w:rPr>
      </w:pPr>
      <w:r w:rsidRPr="003E6780">
        <w:rPr>
          <w:sz w:val="22"/>
          <w:szCs w:val="22"/>
        </w:rPr>
        <w:t xml:space="preserve">Повестка дня </w:t>
      </w:r>
      <w:r w:rsidR="007C16FD" w:rsidRPr="003E6780">
        <w:rPr>
          <w:sz w:val="22"/>
          <w:szCs w:val="22"/>
        </w:rPr>
        <w:t>внеочередного</w:t>
      </w:r>
      <w:r w:rsidRPr="003E6780">
        <w:rPr>
          <w:sz w:val="22"/>
          <w:szCs w:val="22"/>
        </w:rPr>
        <w:t xml:space="preserve"> заседания Общего собрания акционеров:</w:t>
      </w:r>
    </w:p>
    <w:p w:rsidR="00CA2335" w:rsidRPr="003E6780" w:rsidRDefault="00CA2335">
      <w:pPr>
        <w:pStyle w:val="af7"/>
        <w:tabs>
          <w:tab w:val="clear" w:pos="540"/>
        </w:tabs>
        <w:rPr>
          <w:b w:val="0"/>
          <w:sz w:val="22"/>
          <w:szCs w:val="22"/>
        </w:rPr>
      </w:pPr>
    </w:p>
    <w:p w:rsidR="00CA2335" w:rsidRPr="003E6780" w:rsidRDefault="00C55F1B" w:rsidP="00C55F1B">
      <w:pPr>
        <w:ind w:firstLine="567"/>
        <w:jc w:val="both"/>
        <w:rPr>
          <w:sz w:val="22"/>
          <w:szCs w:val="22"/>
        </w:rPr>
      </w:pPr>
      <w:r w:rsidRPr="003E6780">
        <w:rPr>
          <w:sz w:val="22"/>
          <w:szCs w:val="22"/>
        </w:rPr>
        <w:t>1.</w:t>
      </w:r>
      <w:r w:rsidRPr="003E6780">
        <w:rPr>
          <w:b/>
          <w:sz w:val="22"/>
          <w:szCs w:val="22"/>
        </w:rPr>
        <w:t xml:space="preserve"> </w:t>
      </w:r>
      <w:r w:rsidR="00716A19" w:rsidRPr="003E6780">
        <w:rPr>
          <w:color w:val="000000"/>
          <w:sz w:val="22"/>
          <w:szCs w:val="22"/>
        </w:rPr>
        <w:t>О назначении аудиторской организации ПАО «Саратовэнерго».</w:t>
      </w:r>
    </w:p>
    <w:p w:rsidR="00716A19" w:rsidRPr="003E6780" w:rsidRDefault="00716A19" w:rsidP="00716A19">
      <w:pPr>
        <w:jc w:val="both"/>
        <w:rPr>
          <w:color w:val="000000"/>
          <w:sz w:val="22"/>
          <w:szCs w:val="22"/>
        </w:rPr>
      </w:pPr>
      <w:r w:rsidRPr="003E6780">
        <w:rPr>
          <w:sz w:val="22"/>
          <w:szCs w:val="22"/>
        </w:rPr>
        <w:t xml:space="preserve">          </w:t>
      </w:r>
      <w:r w:rsidR="00C55F1B" w:rsidRPr="003E6780">
        <w:rPr>
          <w:sz w:val="22"/>
          <w:szCs w:val="22"/>
        </w:rPr>
        <w:t>2. </w:t>
      </w:r>
      <w:bookmarkStart w:id="0" w:name="_Hlk203381611"/>
      <w:r w:rsidRPr="003E6780">
        <w:rPr>
          <w:color w:val="000000"/>
          <w:sz w:val="22"/>
          <w:szCs w:val="22"/>
        </w:rPr>
        <w:t>Об участии ПАО «Саратовэнерго» в финансово-промышленных группах, ассоциациях и иных объединениях коммерческих организаций</w:t>
      </w:r>
      <w:bookmarkEnd w:id="0"/>
      <w:r w:rsidRPr="003E6780">
        <w:rPr>
          <w:color w:val="000000"/>
          <w:sz w:val="22"/>
          <w:szCs w:val="22"/>
        </w:rPr>
        <w:t>.</w:t>
      </w:r>
    </w:p>
    <w:p w:rsidR="00CA2335" w:rsidRPr="003E6780" w:rsidRDefault="00CA2335" w:rsidP="00C55F1B">
      <w:pPr>
        <w:ind w:firstLine="567"/>
        <w:jc w:val="both"/>
        <w:rPr>
          <w:sz w:val="22"/>
          <w:szCs w:val="22"/>
        </w:rPr>
      </w:pPr>
    </w:p>
    <w:p w:rsidR="00CA2335" w:rsidRPr="003E6780" w:rsidRDefault="00C55F1B" w:rsidP="003769BF">
      <w:pPr>
        <w:spacing w:before="120"/>
        <w:ind w:firstLine="567"/>
        <w:jc w:val="both"/>
        <w:rPr>
          <w:b/>
          <w:sz w:val="22"/>
          <w:szCs w:val="22"/>
        </w:rPr>
      </w:pPr>
      <w:r w:rsidRPr="003E6780">
        <w:rPr>
          <w:b/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</w:p>
    <w:p w:rsidR="00CA2335" w:rsidRPr="003E6780" w:rsidRDefault="00C55F1B" w:rsidP="00C55F1B">
      <w:pPr>
        <w:ind w:firstLine="567"/>
        <w:jc w:val="both"/>
        <w:rPr>
          <w:sz w:val="22"/>
          <w:szCs w:val="22"/>
        </w:rPr>
      </w:pPr>
      <w:r w:rsidRPr="003E6780">
        <w:rPr>
          <w:sz w:val="22"/>
          <w:szCs w:val="22"/>
        </w:rPr>
        <w:t>-</w:t>
      </w:r>
      <w:r w:rsidRPr="003E6780">
        <w:rPr>
          <w:rFonts w:eastAsia="Calibri"/>
          <w:color w:val="000000"/>
          <w:sz w:val="22"/>
          <w:szCs w:val="22"/>
        </w:rPr>
        <w:t> </w:t>
      </w:r>
      <w:r w:rsidRPr="003E6780">
        <w:rPr>
          <w:sz w:val="22"/>
          <w:szCs w:val="22"/>
        </w:rPr>
        <w:t>410002, г. Саратов, ул. им. Мичурина И.В., д.166/168, ПАО «Саратовэнерго»;</w:t>
      </w:r>
    </w:p>
    <w:p w:rsidR="00CA2335" w:rsidRPr="003E6780" w:rsidRDefault="00C55F1B" w:rsidP="00C55F1B">
      <w:pPr>
        <w:ind w:firstLine="567"/>
        <w:jc w:val="both"/>
        <w:rPr>
          <w:sz w:val="22"/>
          <w:szCs w:val="22"/>
        </w:rPr>
      </w:pPr>
      <w:r w:rsidRPr="003E6780">
        <w:rPr>
          <w:sz w:val="22"/>
          <w:szCs w:val="22"/>
        </w:rPr>
        <w:t>- 115172, г. Москва, а/я 4, ООО «Реестр - РН».</w:t>
      </w:r>
    </w:p>
    <w:p w:rsidR="00CA2335" w:rsidRPr="003E6780" w:rsidRDefault="00C55F1B" w:rsidP="00C55F1B">
      <w:pPr>
        <w:pStyle w:val="af"/>
        <w:tabs>
          <w:tab w:val="clear" w:pos="4153"/>
          <w:tab w:val="clear" w:pos="8306"/>
        </w:tabs>
        <w:ind w:firstLine="567"/>
        <w:jc w:val="both"/>
        <w:rPr>
          <w:sz w:val="22"/>
          <w:szCs w:val="22"/>
        </w:rPr>
      </w:pPr>
      <w:r w:rsidRPr="003E6780">
        <w:rPr>
          <w:sz w:val="22"/>
          <w:szCs w:val="22"/>
        </w:rPr>
        <w:t xml:space="preserve">Акционерам предоставляется возможность электронного голосования путем заполнения электронной формы бюллетеней для голосования с помощью сервиса «Личный кабинет акционера» на сайте Регистратора </w:t>
      </w:r>
      <w:hyperlink r:id="rId7" w:tooltip="http://www.lk.reestrrn.ru" w:history="1">
        <w:r w:rsidRPr="003E6780">
          <w:rPr>
            <w:b/>
            <w:sz w:val="22"/>
            <w:szCs w:val="22"/>
          </w:rPr>
          <w:t>www.lk.reestrrn.ru</w:t>
        </w:r>
      </w:hyperlink>
      <w:r w:rsidRPr="003E6780">
        <w:rPr>
          <w:sz w:val="22"/>
          <w:szCs w:val="22"/>
        </w:rPr>
        <w:t xml:space="preserve"> в информационно-телекоммуникационной сети «Интернет» </w:t>
      </w:r>
      <w:hyperlink r:id="rId8" w:tooltip="http://www.reestrrn.ru" w:history="1">
        <w:r w:rsidRPr="003E6780">
          <w:rPr>
            <w:b/>
            <w:sz w:val="22"/>
            <w:szCs w:val="22"/>
          </w:rPr>
          <w:t>www.reestrrn.ru</w:t>
        </w:r>
      </w:hyperlink>
      <w:r w:rsidRPr="003E6780">
        <w:rPr>
          <w:sz w:val="22"/>
          <w:szCs w:val="22"/>
        </w:rPr>
        <w:t xml:space="preserve"> (далее – «ЛКА»).</w:t>
      </w:r>
    </w:p>
    <w:p w:rsidR="00CA2335" w:rsidRPr="003E6780" w:rsidRDefault="00C55F1B" w:rsidP="00C55F1B">
      <w:pPr>
        <w:pStyle w:val="af"/>
        <w:tabs>
          <w:tab w:val="clear" w:pos="4153"/>
          <w:tab w:val="clear" w:pos="8306"/>
        </w:tabs>
        <w:ind w:firstLine="426"/>
        <w:jc w:val="both"/>
        <w:rPr>
          <w:sz w:val="22"/>
          <w:szCs w:val="22"/>
        </w:rPr>
      </w:pPr>
      <w:r w:rsidRPr="003E6780">
        <w:rPr>
          <w:sz w:val="22"/>
          <w:szCs w:val="22"/>
        </w:rPr>
        <w:t>Акционеры имеют также возможность авторизации в электронном сервисе «ЛКА» с помощью учетной записи в ЕСИА, при условии совпадения данных акционера с учетными данными акционера, имеющимися у Регистратора или данными предоставленными в отношении акционера номинальными держателями.</w:t>
      </w:r>
    </w:p>
    <w:p w:rsidR="00CA2335" w:rsidRPr="003E6780" w:rsidRDefault="00C55F1B" w:rsidP="00C55F1B">
      <w:pPr>
        <w:pStyle w:val="af"/>
        <w:tabs>
          <w:tab w:val="clear" w:pos="4153"/>
          <w:tab w:val="clear" w:pos="8306"/>
        </w:tabs>
        <w:ind w:firstLine="426"/>
        <w:jc w:val="both"/>
        <w:rPr>
          <w:sz w:val="22"/>
          <w:szCs w:val="22"/>
        </w:rPr>
      </w:pPr>
      <w:r w:rsidRPr="003E6780">
        <w:rPr>
          <w:sz w:val="22"/>
          <w:szCs w:val="22"/>
        </w:rPr>
        <w:t>Доступ к заполнению электронной формы бюллетеней для голосования в «ЛКА» будет открыт акционерам, учитывающим свои права на акции в реестре акционеров Общества, с 2</w:t>
      </w:r>
      <w:r w:rsidR="00716A19" w:rsidRPr="003E6780">
        <w:rPr>
          <w:sz w:val="22"/>
          <w:szCs w:val="22"/>
        </w:rPr>
        <w:t>0 августа</w:t>
      </w:r>
      <w:r w:rsidRPr="003E6780">
        <w:rPr>
          <w:sz w:val="22"/>
          <w:szCs w:val="22"/>
        </w:rPr>
        <w:t xml:space="preserve"> 2025 г., а акционерам, являющимся клиентами номинальных держателей, - после предоставления номинальным держателем сведений о лицах, имеющих право голоса при принятии решения </w:t>
      </w:r>
      <w:r w:rsidR="003769BF" w:rsidRPr="003E6780">
        <w:rPr>
          <w:sz w:val="22"/>
          <w:szCs w:val="22"/>
        </w:rPr>
        <w:t>О</w:t>
      </w:r>
      <w:r w:rsidRPr="003E6780">
        <w:rPr>
          <w:sz w:val="22"/>
          <w:szCs w:val="22"/>
        </w:rPr>
        <w:t>бщим собранием акционеров ПАО «Саратовэнерго», держателю реестра акционеров Общества – ООО «Реестр-РН».</w:t>
      </w:r>
    </w:p>
    <w:p w:rsidR="00CA2335" w:rsidRPr="003E6780" w:rsidRDefault="00C55F1B" w:rsidP="00C55F1B">
      <w:pPr>
        <w:pStyle w:val="af"/>
        <w:tabs>
          <w:tab w:val="clear" w:pos="4153"/>
          <w:tab w:val="clear" w:pos="8306"/>
        </w:tabs>
        <w:ind w:firstLine="426"/>
        <w:jc w:val="both"/>
        <w:rPr>
          <w:sz w:val="22"/>
          <w:szCs w:val="22"/>
        </w:rPr>
      </w:pPr>
      <w:r w:rsidRPr="003E6780">
        <w:rPr>
          <w:sz w:val="22"/>
          <w:szCs w:val="22"/>
        </w:rPr>
        <w:t>Принявшими участие в</w:t>
      </w:r>
      <w:r w:rsidR="003769BF" w:rsidRPr="003E6780">
        <w:rPr>
          <w:sz w:val="22"/>
          <w:szCs w:val="22"/>
        </w:rPr>
        <w:t>о</w:t>
      </w:r>
      <w:r w:rsidRPr="003E6780">
        <w:rPr>
          <w:sz w:val="22"/>
          <w:szCs w:val="22"/>
        </w:rPr>
        <w:t xml:space="preserve"> </w:t>
      </w:r>
      <w:r w:rsidR="007C16FD" w:rsidRPr="003E6780">
        <w:rPr>
          <w:sz w:val="22"/>
          <w:szCs w:val="22"/>
        </w:rPr>
        <w:t>внеочередном</w:t>
      </w:r>
      <w:r w:rsidRPr="003E6780">
        <w:rPr>
          <w:sz w:val="22"/>
          <w:szCs w:val="22"/>
        </w:rPr>
        <w:t xml:space="preserve"> заседании </w:t>
      </w:r>
      <w:r w:rsidR="006A73D5" w:rsidRPr="003E6780">
        <w:rPr>
          <w:sz w:val="22"/>
          <w:szCs w:val="22"/>
        </w:rPr>
        <w:t>О</w:t>
      </w:r>
      <w:r w:rsidR="00716A19" w:rsidRPr="003E6780">
        <w:rPr>
          <w:sz w:val="22"/>
          <w:szCs w:val="22"/>
        </w:rPr>
        <w:t>бщего собрания акционеров 09 сентября</w:t>
      </w:r>
      <w:r w:rsidRPr="003E6780">
        <w:rPr>
          <w:sz w:val="22"/>
          <w:szCs w:val="22"/>
        </w:rPr>
        <w:t xml:space="preserve"> 2025 года считаются акционеры, зарегистрировавшиеся для участия в нем, в том числе с помощью сервиса «Личный </w:t>
      </w:r>
      <w:r w:rsidRPr="003E6780">
        <w:rPr>
          <w:sz w:val="22"/>
          <w:szCs w:val="22"/>
        </w:rPr>
        <w:lastRenderedPageBreak/>
        <w:t xml:space="preserve">кабинет акционера» на сайте Регистратора </w:t>
      </w:r>
      <w:hyperlink r:id="rId9" w:tooltip="http://www.lk.reestrrn.ru" w:history="1">
        <w:r w:rsidRPr="003E6780">
          <w:rPr>
            <w:sz w:val="22"/>
            <w:szCs w:val="22"/>
          </w:rPr>
          <w:t>www.lk.reestrrn.ru</w:t>
        </w:r>
      </w:hyperlink>
      <w:r w:rsidRPr="003E6780">
        <w:rPr>
          <w:sz w:val="22"/>
          <w:szCs w:val="22"/>
        </w:rPr>
        <w:t xml:space="preserve"> в информационно-телекоммуникационной сети «Интернет» </w:t>
      </w:r>
      <w:hyperlink r:id="rId10" w:tooltip="http://www.reestrrn.ru" w:history="1">
        <w:r w:rsidRPr="003E6780">
          <w:rPr>
            <w:sz w:val="22"/>
            <w:szCs w:val="22"/>
          </w:rPr>
          <w:t>www.reestrrn.ru</w:t>
        </w:r>
      </w:hyperlink>
      <w:r w:rsidR="00716A19" w:rsidRPr="003E6780">
        <w:rPr>
          <w:sz w:val="22"/>
          <w:szCs w:val="22"/>
        </w:rPr>
        <w:t xml:space="preserve"> </w:t>
      </w:r>
      <w:r w:rsidR="003769BF" w:rsidRPr="003E6780">
        <w:rPr>
          <w:sz w:val="22"/>
          <w:szCs w:val="22"/>
        </w:rPr>
        <w:t xml:space="preserve">- </w:t>
      </w:r>
      <w:r w:rsidR="00716A19" w:rsidRPr="003E6780">
        <w:rPr>
          <w:sz w:val="22"/>
          <w:szCs w:val="22"/>
        </w:rPr>
        <w:t>09 сентября</w:t>
      </w:r>
      <w:r w:rsidRPr="003E6780">
        <w:rPr>
          <w:sz w:val="22"/>
          <w:szCs w:val="22"/>
        </w:rPr>
        <w:t xml:space="preserve"> 2025 года.</w:t>
      </w:r>
    </w:p>
    <w:p w:rsidR="007D0C66" w:rsidRPr="003E6780" w:rsidRDefault="007D0C66" w:rsidP="007D0C66">
      <w:pPr>
        <w:ind w:firstLine="284"/>
        <w:jc w:val="both"/>
        <w:rPr>
          <w:sz w:val="22"/>
          <w:szCs w:val="22"/>
        </w:rPr>
      </w:pPr>
    </w:p>
    <w:p w:rsidR="007D0C66" w:rsidRPr="003E6780" w:rsidRDefault="007D0C66" w:rsidP="00C55F1B">
      <w:pPr>
        <w:ind w:firstLine="426"/>
        <w:jc w:val="both"/>
        <w:rPr>
          <w:sz w:val="22"/>
          <w:szCs w:val="22"/>
        </w:rPr>
      </w:pPr>
      <w:r w:rsidRPr="003E6780">
        <w:rPr>
          <w:sz w:val="22"/>
          <w:szCs w:val="22"/>
        </w:rPr>
        <w:t>При определении кворума заседания и подведении итогов голосования будут учитываться:</w:t>
      </w:r>
    </w:p>
    <w:p w:rsidR="00CA2335" w:rsidRPr="003E6780" w:rsidRDefault="00C55F1B">
      <w:pPr>
        <w:numPr>
          <w:ilvl w:val="0"/>
          <w:numId w:val="9"/>
        </w:numPr>
        <w:ind w:left="0" w:firstLine="426"/>
        <w:contextualSpacing/>
        <w:jc w:val="both"/>
        <w:rPr>
          <w:sz w:val="22"/>
          <w:szCs w:val="22"/>
          <w:lang w:eastAsia="en-US"/>
        </w:rPr>
      </w:pPr>
      <w:r w:rsidRPr="003E6780">
        <w:rPr>
          <w:sz w:val="22"/>
          <w:szCs w:val="22"/>
        </w:rPr>
        <w:t>бюллетени, полученные Общес</w:t>
      </w:r>
      <w:r w:rsidR="00716A19" w:rsidRPr="003E6780">
        <w:rPr>
          <w:sz w:val="22"/>
          <w:szCs w:val="22"/>
        </w:rPr>
        <w:t>твом/Регистратором не позднее 06 сентября</w:t>
      </w:r>
      <w:r w:rsidRPr="003E6780">
        <w:rPr>
          <w:sz w:val="22"/>
          <w:szCs w:val="22"/>
        </w:rPr>
        <w:t xml:space="preserve"> 2025 г</w:t>
      </w:r>
      <w:r w:rsidR="00E93FBB" w:rsidRPr="003E6780">
        <w:rPr>
          <w:sz w:val="22"/>
          <w:szCs w:val="22"/>
        </w:rPr>
        <w:t>ода</w:t>
      </w:r>
      <w:r w:rsidRPr="003E6780">
        <w:rPr>
          <w:sz w:val="22"/>
          <w:szCs w:val="22"/>
        </w:rPr>
        <w:t xml:space="preserve"> (включительно);</w:t>
      </w:r>
    </w:p>
    <w:p w:rsidR="00CA2335" w:rsidRPr="003E6780" w:rsidRDefault="00C55F1B">
      <w:pPr>
        <w:numPr>
          <w:ilvl w:val="0"/>
          <w:numId w:val="9"/>
        </w:numPr>
        <w:ind w:left="0" w:firstLine="426"/>
        <w:contextualSpacing/>
        <w:jc w:val="both"/>
        <w:rPr>
          <w:sz w:val="22"/>
          <w:szCs w:val="22"/>
        </w:rPr>
      </w:pPr>
      <w:r w:rsidRPr="003E6780">
        <w:rPr>
          <w:sz w:val="22"/>
          <w:szCs w:val="22"/>
        </w:rPr>
        <w:t>сообщения о волеизъявлении акционеров, давших указания (инструкции) о голосовании номи</w:t>
      </w:r>
      <w:r w:rsidR="00716A19" w:rsidRPr="003E6780">
        <w:rPr>
          <w:sz w:val="22"/>
          <w:szCs w:val="22"/>
        </w:rPr>
        <w:t>нальному держателю не позднее 06 сентября</w:t>
      </w:r>
      <w:r w:rsidRPr="003E6780">
        <w:rPr>
          <w:sz w:val="22"/>
          <w:szCs w:val="22"/>
        </w:rPr>
        <w:t xml:space="preserve"> 2025 г</w:t>
      </w:r>
      <w:r w:rsidR="00E93FBB" w:rsidRPr="003E6780">
        <w:rPr>
          <w:sz w:val="22"/>
          <w:szCs w:val="22"/>
        </w:rPr>
        <w:t>ода</w:t>
      </w:r>
      <w:r w:rsidRPr="003E6780">
        <w:rPr>
          <w:sz w:val="22"/>
          <w:szCs w:val="22"/>
        </w:rPr>
        <w:t xml:space="preserve"> (включительно);</w:t>
      </w:r>
    </w:p>
    <w:p w:rsidR="00CA2335" w:rsidRPr="003E6780" w:rsidRDefault="00C55F1B">
      <w:pPr>
        <w:numPr>
          <w:ilvl w:val="0"/>
          <w:numId w:val="9"/>
        </w:numPr>
        <w:ind w:left="0" w:firstLine="426"/>
        <w:contextualSpacing/>
        <w:jc w:val="both"/>
        <w:rPr>
          <w:sz w:val="22"/>
          <w:szCs w:val="22"/>
        </w:rPr>
      </w:pPr>
      <w:r w:rsidRPr="003E6780">
        <w:rPr>
          <w:sz w:val="22"/>
          <w:szCs w:val="22"/>
        </w:rPr>
        <w:t>электронные формы бюллетеней, заполненные а</w:t>
      </w:r>
      <w:r w:rsidR="00716A19" w:rsidRPr="003E6780">
        <w:rPr>
          <w:sz w:val="22"/>
          <w:szCs w:val="22"/>
        </w:rPr>
        <w:t>кционерами в «ЛКА» не позднее 06 сентября</w:t>
      </w:r>
      <w:r w:rsidRPr="003E6780">
        <w:rPr>
          <w:sz w:val="22"/>
          <w:szCs w:val="22"/>
        </w:rPr>
        <w:t xml:space="preserve"> 2025 г</w:t>
      </w:r>
      <w:r w:rsidR="00E93FBB" w:rsidRPr="003E6780">
        <w:rPr>
          <w:sz w:val="22"/>
          <w:szCs w:val="22"/>
        </w:rPr>
        <w:t>ода</w:t>
      </w:r>
      <w:r w:rsidRPr="003E6780">
        <w:rPr>
          <w:sz w:val="22"/>
          <w:szCs w:val="22"/>
        </w:rPr>
        <w:t xml:space="preserve"> (включительно).</w:t>
      </w:r>
    </w:p>
    <w:p w:rsidR="00CA2335" w:rsidRPr="003E6780" w:rsidRDefault="00CA233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CA2335" w:rsidRPr="003E6780" w:rsidRDefault="00C55F1B" w:rsidP="000C3288">
      <w:pPr>
        <w:ind w:firstLine="426"/>
        <w:jc w:val="both"/>
        <w:rPr>
          <w:color w:val="000000"/>
          <w:sz w:val="22"/>
          <w:szCs w:val="22"/>
        </w:rPr>
      </w:pPr>
      <w:r w:rsidRPr="003E6780">
        <w:rPr>
          <w:color w:val="000000"/>
          <w:sz w:val="22"/>
          <w:szCs w:val="22"/>
        </w:rPr>
        <w:t xml:space="preserve">С </w:t>
      </w:r>
      <w:bookmarkStart w:id="1" w:name="_Hlk194307583"/>
      <w:r w:rsidRPr="003E6780">
        <w:rPr>
          <w:color w:val="000000"/>
          <w:sz w:val="22"/>
          <w:szCs w:val="22"/>
        </w:rPr>
        <w:t>информацией (материалами) лица, имеющие право голоса при принятии решений Общим собранием акционеров,</w:t>
      </w:r>
      <w:r w:rsidR="00716A19" w:rsidRPr="003E6780">
        <w:rPr>
          <w:color w:val="000000"/>
          <w:sz w:val="22"/>
          <w:szCs w:val="22"/>
        </w:rPr>
        <w:t xml:space="preserve"> могут ознакомиться начиная с 19.08</w:t>
      </w:r>
      <w:r w:rsidRPr="003E6780">
        <w:rPr>
          <w:color w:val="000000"/>
          <w:sz w:val="22"/>
          <w:szCs w:val="22"/>
        </w:rPr>
        <w:t xml:space="preserve">.2025 г. на сайте Общества в информационно-телекоммуникационной сети Интернет по адресу: </w:t>
      </w:r>
      <w:hyperlink r:id="rId11" w:tooltip="http://www.saratovenergo.ru" w:history="1">
        <w:r w:rsidRPr="003E6780">
          <w:rPr>
            <w:rStyle w:val="aff5"/>
            <w:sz w:val="22"/>
            <w:szCs w:val="22"/>
          </w:rPr>
          <w:t>http://www.saratovenergo.ru</w:t>
        </w:r>
      </w:hyperlink>
      <w:r w:rsidRPr="003E6780">
        <w:rPr>
          <w:color w:val="000000"/>
          <w:sz w:val="22"/>
          <w:szCs w:val="22"/>
        </w:rPr>
        <w:t>, а также в рабочие дни с 10 часов 00 минут до 14 часов 00 минут по следующим адресам:</w:t>
      </w:r>
      <w:r w:rsidR="000C3288" w:rsidRPr="003E6780">
        <w:rPr>
          <w:color w:val="000000"/>
          <w:sz w:val="22"/>
          <w:szCs w:val="22"/>
        </w:rPr>
        <w:t xml:space="preserve"> </w:t>
      </w:r>
      <w:r w:rsidRPr="003E6780">
        <w:rPr>
          <w:color w:val="000000"/>
          <w:sz w:val="22"/>
          <w:szCs w:val="22"/>
        </w:rPr>
        <w:t>г. Саратов, ул. им. Мичурина И.В., д.166/168, ПАО «Саратовэнерго»;</w:t>
      </w:r>
      <w:r w:rsidR="000C3288" w:rsidRPr="003E6780">
        <w:rPr>
          <w:color w:val="000000"/>
          <w:sz w:val="22"/>
          <w:szCs w:val="22"/>
        </w:rPr>
        <w:t xml:space="preserve"> </w:t>
      </w:r>
      <w:r w:rsidRPr="003E6780">
        <w:rPr>
          <w:color w:val="000000"/>
          <w:sz w:val="22"/>
          <w:szCs w:val="22"/>
        </w:rPr>
        <w:t xml:space="preserve">г. Москва, 1-й </w:t>
      </w:r>
      <w:proofErr w:type="spellStart"/>
      <w:r w:rsidRPr="003E6780">
        <w:rPr>
          <w:color w:val="000000"/>
          <w:sz w:val="22"/>
          <w:szCs w:val="22"/>
        </w:rPr>
        <w:t>Щипковски</w:t>
      </w:r>
      <w:r w:rsidR="000C3288" w:rsidRPr="003E6780">
        <w:rPr>
          <w:color w:val="000000"/>
          <w:sz w:val="22"/>
          <w:szCs w:val="22"/>
        </w:rPr>
        <w:t>й</w:t>
      </w:r>
      <w:proofErr w:type="spellEnd"/>
      <w:r w:rsidR="000C3288" w:rsidRPr="003E6780">
        <w:rPr>
          <w:color w:val="000000"/>
          <w:sz w:val="22"/>
          <w:szCs w:val="22"/>
        </w:rPr>
        <w:t xml:space="preserve"> пер., дом 20, ООО «Реестр-РН», а также </w:t>
      </w:r>
      <w:r w:rsidRPr="003E6780">
        <w:rPr>
          <w:color w:val="000000"/>
          <w:sz w:val="22"/>
          <w:szCs w:val="22"/>
        </w:rPr>
        <w:t xml:space="preserve"> </w:t>
      </w:r>
      <w:bookmarkEnd w:id="1"/>
      <w:r w:rsidR="000C3288" w:rsidRPr="003E6780">
        <w:rPr>
          <w:color w:val="000000"/>
          <w:sz w:val="22"/>
          <w:szCs w:val="22"/>
        </w:rPr>
        <w:t>в день проведения заседания по месту проведения заседания.</w:t>
      </w:r>
    </w:p>
    <w:p w:rsidR="00CA2335" w:rsidRPr="003E6780" w:rsidRDefault="00CA2335" w:rsidP="00C55F1B">
      <w:pPr>
        <w:ind w:firstLine="426"/>
        <w:jc w:val="both"/>
        <w:rPr>
          <w:b/>
          <w:sz w:val="22"/>
          <w:szCs w:val="22"/>
        </w:rPr>
      </w:pPr>
    </w:p>
    <w:p w:rsidR="00CA2335" w:rsidRPr="003E6780" w:rsidRDefault="00C55F1B" w:rsidP="00C55F1B">
      <w:pPr>
        <w:ind w:firstLine="426"/>
        <w:jc w:val="both"/>
        <w:rPr>
          <w:b/>
          <w:sz w:val="22"/>
          <w:szCs w:val="22"/>
        </w:rPr>
      </w:pPr>
      <w:r w:rsidRPr="003E6780">
        <w:rPr>
          <w:b/>
          <w:sz w:val="22"/>
          <w:szCs w:val="22"/>
        </w:rPr>
        <w:t xml:space="preserve">Акционерам, анкетные данные которых изменились, но информация о произошедших изменениях не предоставлена регистратору Общества – ООО «Реестр-РН», необходимо внести соответствующие изменения в анкетные данные, в том числе об адресе регистрации, о почтовом адресе, о реквизитах банковского счета. Изменения в анкетные данные вносятся путем предоставления в адрес Регистратора Общества документов, предусмотренных Правилами ведения реестра владельцев ценных бумаг. С информацией о способах направления указанных документов Регистратору Общества, а также со списком направляемых документов можно ознакомиться на сайте Регистратора: </w:t>
      </w:r>
      <w:hyperlink r:id="rId12" w:tooltip="http://www.reestrrn.ru" w:history="1">
        <w:r w:rsidRPr="003E6780">
          <w:rPr>
            <w:rStyle w:val="aff5"/>
            <w:b/>
            <w:sz w:val="22"/>
            <w:szCs w:val="22"/>
            <w:lang w:val="en-US"/>
          </w:rPr>
          <w:t>www</w:t>
        </w:r>
        <w:r w:rsidRPr="003E6780">
          <w:rPr>
            <w:rStyle w:val="aff5"/>
            <w:b/>
            <w:sz w:val="22"/>
            <w:szCs w:val="22"/>
          </w:rPr>
          <w:t>.</w:t>
        </w:r>
        <w:proofErr w:type="spellStart"/>
        <w:r w:rsidRPr="003E6780">
          <w:rPr>
            <w:rStyle w:val="aff5"/>
            <w:b/>
            <w:sz w:val="22"/>
            <w:szCs w:val="22"/>
            <w:lang w:val="en-US"/>
          </w:rPr>
          <w:t>reestrrn</w:t>
        </w:r>
        <w:proofErr w:type="spellEnd"/>
        <w:r w:rsidRPr="003E6780">
          <w:rPr>
            <w:rStyle w:val="aff5"/>
            <w:b/>
            <w:sz w:val="22"/>
            <w:szCs w:val="22"/>
          </w:rPr>
          <w:t>.</w:t>
        </w:r>
        <w:proofErr w:type="spellStart"/>
        <w:r w:rsidRPr="003E6780">
          <w:rPr>
            <w:rStyle w:val="aff5"/>
            <w:b/>
            <w:sz w:val="22"/>
            <w:szCs w:val="22"/>
            <w:lang w:val="en-US"/>
          </w:rPr>
          <w:t>ru</w:t>
        </w:r>
        <w:proofErr w:type="spellEnd"/>
      </w:hyperlink>
      <w:r w:rsidRPr="003E6780">
        <w:rPr>
          <w:b/>
          <w:sz w:val="22"/>
          <w:szCs w:val="22"/>
        </w:rPr>
        <w:t xml:space="preserve">. </w:t>
      </w:r>
    </w:p>
    <w:p w:rsidR="00CA2335" w:rsidRPr="003E6780" w:rsidRDefault="00CA2335" w:rsidP="00C55F1B">
      <w:pPr>
        <w:ind w:firstLine="426"/>
        <w:jc w:val="both"/>
        <w:rPr>
          <w:b/>
          <w:sz w:val="22"/>
          <w:szCs w:val="22"/>
        </w:rPr>
      </w:pPr>
    </w:p>
    <w:p w:rsidR="00CA2335" w:rsidRPr="003E6780" w:rsidRDefault="00C55F1B" w:rsidP="00C55F1B">
      <w:pPr>
        <w:pStyle w:val="af7"/>
        <w:spacing w:line="216" w:lineRule="auto"/>
        <w:ind w:right="-70" w:firstLine="426"/>
        <w:rPr>
          <w:b w:val="0"/>
          <w:sz w:val="22"/>
          <w:szCs w:val="22"/>
        </w:rPr>
      </w:pPr>
      <w:r w:rsidRPr="003E6780">
        <w:rPr>
          <w:sz w:val="22"/>
          <w:szCs w:val="22"/>
        </w:rPr>
        <w:t>Внимание!</w:t>
      </w:r>
      <w:r w:rsidRPr="003E6780">
        <w:rPr>
          <w:b w:val="0"/>
          <w:sz w:val="22"/>
          <w:szCs w:val="22"/>
        </w:rPr>
        <w:t xml:space="preserve"> В случае подписания бюллетеня представителем акционера, к указанному бюллетеню необходимо приложить доверенность, на основании которой действует представитель, или ее нотариально удостоверенную копию. Доверенность на голосование должна содержать сведения о представляемом и представителе (для физического лица - ФИО,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 </w:t>
      </w:r>
    </w:p>
    <w:p w:rsidR="00CA2335" w:rsidRPr="003E6780" w:rsidRDefault="00CA2335">
      <w:pPr>
        <w:pStyle w:val="af7"/>
        <w:spacing w:line="216" w:lineRule="auto"/>
        <w:ind w:right="-70" w:firstLine="567"/>
        <w:rPr>
          <w:sz w:val="22"/>
          <w:szCs w:val="22"/>
        </w:rPr>
      </w:pPr>
    </w:p>
    <w:p w:rsidR="00CA2335" w:rsidRPr="003E6780" w:rsidRDefault="00CA2335">
      <w:pPr>
        <w:pStyle w:val="af"/>
        <w:tabs>
          <w:tab w:val="left" w:pos="708"/>
        </w:tabs>
        <w:jc w:val="right"/>
        <w:rPr>
          <w:b/>
          <w:sz w:val="22"/>
          <w:szCs w:val="22"/>
        </w:rPr>
      </w:pPr>
    </w:p>
    <w:p w:rsidR="00CA2335" w:rsidRPr="003E6780" w:rsidRDefault="00C55F1B">
      <w:pPr>
        <w:pStyle w:val="af"/>
        <w:tabs>
          <w:tab w:val="left" w:pos="708"/>
        </w:tabs>
        <w:jc w:val="right"/>
        <w:rPr>
          <w:b/>
          <w:sz w:val="22"/>
          <w:szCs w:val="22"/>
        </w:rPr>
      </w:pPr>
      <w:r w:rsidRPr="003E6780">
        <w:rPr>
          <w:b/>
          <w:sz w:val="22"/>
          <w:szCs w:val="22"/>
        </w:rPr>
        <w:t xml:space="preserve">                                                       Совет директоров ПАО «Саратовэнерго» </w:t>
      </w: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CD4443" w:rsidRDefault="00CD4443" w:rsidP="00CD4443">
      <w:bookmarkStart w:id="2" w:name="_GoBack"/>
      <w:bookmarkEnd w:id="2"/>
    </w:p>
    <w:p w:rsidR="00CA2335" w:rsidRPr="003E6780" w:rsidRDefault="00CA2335">
      <w:pPr>
        <w:pStyle w:val="af"/>
        <w:tabs>
          <w:tab w:val="left" w:pos="708"/>
        </w:tabs>
        <w:rPr>
          <w:b/>
          <w:sz w:val="22"/>
          <w:szCs w:val="22"/>
        </w:rPr>
      </w:pPr>
    </w:p>
    <w:sectPr w:rsidR="00CA2335" w:rsidRPr="003E6780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335" w:rsidRDefault="00C55F1B">
      <w:r>
        <w:separator/>
      </w:r>
    </w:p>
  </w:endnote>
  <w:endnote w:type="continuationSeparator" w:id="0">
    <w:p w:rsidR="00CA2335" w:rsidRDefault="00C5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335" w:rsidRDefault="00C55F1B">
      <w:r>
        <w:separator/>
      </w:r>
    </w:p>
  </w:footnote>
  <w:footnote w:type="continuationSeparator" w:id="0">
    <w:p w:rsidR="00CA2335" w:rsidRDefault="00C5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758F"/>
    <w:multiLevelType w:val="hybridMultilevel"/>
    <w:tmpl w:val="8CA88DE6"/>
    <w:lvl w:ilvl="0" w:tplc="5574A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9A57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54B8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B8BB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B0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84F1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400A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041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8529E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EE61A5"/>
    <w:multiLevelType w:val="hybridMultilevel"/>
    <w:tmpl w:val="A41A23CA"/>
    <w:lvl w:ilvl="0" w:tplc="812CD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AA5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70F254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146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E1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0A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12A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A5C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0D4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A3DCB"/>
    <w:multiLevelType w:val="hybridMultilevel"/>
    <w:tmpl w:val="B8308BF8"/>
    <w:lvl w:ilvl="0" w:tplc="2A80CD76">
      <w:start w:val="1"/>
      <w:numFmt w:val="decimal"/>
      <w:lvlText w:val="%1)"/>
      <w:lvlJc w:val="left"/>
      <w:pPr>
        <w:ind w:left="900" w:hanging="360"/>
      </w:pPr>
    </w:lvl>
    <w:lvl w:ilvl="1" w:tplc="D0A28E0A">
      <w:start w:val="1"/>
      <w:numFmt w:val="lowerLetter"/>
      <w:lvlText w:val="%2."/>
      <w:lvlJc w:val="left"/>
      <w:pPr>
        <w:ind w:left="1620" w:hanging="360"/>
      </w:pPr>
    </w:lvl>
    <w:lvl w:ilvl="2" w:tplc="7DA6E874">
      <w:start w:val="1"/>
      <w:numFmt w:val="lowerRoman"/>
      <w:lvlText w:val="%3."/>
      <w:lvlJc w:val="right"/>
      <w:pPr>
        <w:ind w:left="2340" w:hanging="180"/>
      </w:pPr>
    </w:lvl>
    <w:lvl w:ilvl="3" w:tplc="2C3E9CDA">
      <w:start w:val="1"/>
      <w:numFmt w:val="decimal"/>
      <w:lvlText w:val="%4."/>
      <w:lvlJc w:val="left"/>
      <w:pPr>
        <w:ind w:left="3060" w:hanging="360"/>
      </w:pPr>
    </w:lvl>
    <w:lvl w:ilvl="4" w:tplc="EF84515E">
      <w:start w:val="1"/>
      <w:numFmt w:val="lowerLetter"/>
      <w:lvlText w:val="%5."/>
      <w:lvlJc w:val="left"/>
      <w:pPr>
        <w:ind w:left="3780" w:hanging="360"/>
      </w:pPr>
    </w:lvl>
    <w:lvl w:ilvl="5" w:tplc="10921924">
      <w:start w:val="1"/>
      <w:numFmt w:val="lowerRoman"/>
      <w:lvlText w:val="%6."/>
      <w:lvlJc w:val="right"/>
      <w:pPr>
        <w:ind w:left="4500" w:hanging="180"/>
      </w:pPr>
    </w:lvl>
    <w:lvl w:ilvl="6" w:tplc="C64C0402">
      <w:start w:val="1"/>
      <w:numFmt w:val="decimal"/>
      <w:lvlText w:val="%7."/>
      <w:lvlJc w:val="left"/>
      <w:pPr>
        <w:ind w:left="5220" w:hanging="360"/>
      </w:pPr>
    </w:lvl>
    <w:lvl w:ilvl="7" w:tplc="1F0698AC">
      <w:start w:val="1"/>
      <w:numFmt w:val="lowerLetter"/>
      <w:lvlText w:val="%8."/>
      <w:lvlJc w:val="left"/>
      <w:pPr>
        <w:ind w:left="5940" w:hanging="360"/>
      </w:pPr>
    </w:lvl>
    <w:lvl w:ilvl="8" w:tplc="73F266A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235D8A"/>
    <w:multiLevelType w:val="hybridMultilevel"/>
    <w:tmpl w:val="9D7C0B54"/>
    <w:lvl w:ilvl="0" w:tplc="199254BE">
      <w:start w:val="1"/>
      <w:numFmt w:val="decimal"/>
      <w:lvlText w:val="%1)"/>
      <w:lvlJc w:val="left"/>
      <w:pPr>
        <w:tabs>
          <w:tab w:val="num" w:pos="-142"/>
        </w:tabs>
        <w:ind w:left="502" w:hanging="360"/>
      </w:pPr>
    </w:lvl>
    <w:lvl w:ilvl="1" w:tplc="9094E4CC">
      <w:start w:val="1"/>
      <w:numFmt w:val="decimal"/>
      <w:lvlText w:val=""/>
      <w:lvlJc w:val="left"/>
    </w:lvl>
    <w:lvl w:ilvl="2" w:tplc="081675CA">
      <w:start w:val="1"/>
      <w:numFmt w:val="decimal"/>
      <w:lvlText w:val=""/>
      <w:lvlJc w:val="left"/>
    </w:lvl>
    <w:lvl w:ilvl="3" w:tplc="3A5EA3BA">
      <w:start w:val="1"/>
      <w:numFmt w:val="decimal"/>
      <w:lvlText w:val=""/>
      <w:lvlJc w:val="left"/>
    </w:lvl>
    <w:lvl w:ilvl="4" w:tplc="C4CE8CC0">
      <w:start w:val="1"/>
      <w:numFmt w:val="decimal"/>
      <w:lvlText w:val=""/>
      <w:lvlJc w:val="left"/>
    </w:lvl>
    <w:lvl w:ilvl="5" w:tplc="3E1055A2">
      <w:start w:val="1"/>
      <w:numFmt w:val="decimal"/>
      <w:lvlText w:val=""/>
      <w:lvlJc w:val="left"/>
    </w:lvl>
    <w:lvl w:ilvl="6" w:tplc="A148B780">
      <w:start w:val="1"/>
      <w:numFmt w:val="decimal"/>
      <w:lvlText w:val=""/>
      <w:lvlJc w:val="left"/>
    </w:lvl>
    <w:lvl w:ilvl="7" w:tplc="3026A510">
      <w:start w:val="1"/>
      <w:numFmt w:val="decimal"/>
      <w:lvlText w:val=""/>
      <w:lvlJc w:val="left"/>
    </w:lvl>
    <w:lvl w:ilvl="8" w:tplc="D8E436D2">
      <w:start w:val="1"/>
      <w:numFmt w:val="decimal"/>
      <w:lvlText w:val=""/>
      <w:lvlJc w:val="left"/>
    </w:lvl>
  </w:abstractNum>
  <w:abstractNum w:abstractNumId="4" w15:restartNumberingAfterBreak="0">
    <w:nsid w:val="292E14D9"/>
    <w:multiLevelType w:val="hybridMultilevel"/>
    <w:tmpl w:val="FC0AD622"/>
    <w:lvl w:ilvl="0" w:tplc="93D6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FB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AA40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E0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8CF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885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4E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A3F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72E55"/>
    <w:multiLevelType w:val="hybridMultilevel"/>
    <w:tmpl w:val="7F9E67E8"/>
    <w:lvl w:ilvl="0" w:tplc="B6E284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E58CCC5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CE4308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576CA7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9224A9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BC4D43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9F2520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240496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5AAAC0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8D86722"/>
    <w:multiLevelType w:val="hybridMultilevel"/>
    <w:tmpl w:val="7CDEBF7C"/>
    <w:lvl w:ilvl="0" w:tplc="91DE96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/>
      </w:rPr>
    </w:lvl>
    <w:lvl w:ilvl="1" w:tplc="026EA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7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2D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A47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850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29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6E3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E6F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495B71"/>
    <w:multiLevelType w:val="hybridMultilevel"/>
    <w:tmpl w:val="8438DFDE"/>
    <w:lvl w:ilvl="0" w:tplc="F34C5558">
      <w:start w:val="1"/>
      <w:numFmt w:val="decimal"/>
      <w:lvlText w:val="%1)"/>
      <w:lvlJc w:val="left"/>
      <w:pPr>
        <w:ind w:left="644" w:hanging="360"/>
      </w:pPr>
    </w:lvl>
    <w:lvl w:ilvl="1" w:tplc="7A00B4DA">
      <w:start w:val="1"/>
      <w:numFmt w:val="lowerLetter"/>
      <w:lvlText w:val="%2."/>
      <w:lvlJc w:val="left"/>
      <w:pPr>
        <w:ind w:left="1364" w:hanging="360"/>
      </w:pPr>
    </w:lvl>
    <w:lvl w:ilvl="2" w:tplc="85F0E0AC">
      <w:start w:val="1"/>
      <w:numFmt w:val="lowerRoman"/>
      <w:lvlText w:val="%3."/>
      <w:lvlJc w:val="right"/>
      <w:pPr>
        <w:ind w:left="2084" w:hanging="180"/>
      </w:pPr>
    </w:lvl>
    <w:lvl w:ilvl="3" w:tplc="BD947432">
      <w:start w:val="1"/>
      <w:numFmt w:val="decimal"/>
      <w:lvlText w:val="%4."/>
      <w:lvlJc w:val="left"/>
      <w:pPr>
        <w:ind w:left="2804" w:hanging="360"/>
      </w:pPr>
    </w:lvl>
    <w:lvl w:ilvl="4" w:tplc="02FCE492">
      <w:start w:val="1"/>
      <w:numFmt w:val="lowerLetter"/>
      <w:lvlText w:val="%5."/>
      <w:lvlJc w:val="left"/>
      <w:pPr>
        <w:ind w:left="3524" w:hanging="360"/>
      </w:pPr>
    </w:lvl>
    <w:lvl w:ilvl="5" w:tplc="56266134">
      <w:start w:val="1"/>
      <w:numFmt w:val="lowerRoman"/>
      <w:lvlText w:val="%6."/>
      <w:lvlJc w:val="right"/>
      <w:pPr>
        <w:ind w:left="4244" w:hanging="180"/>
      </w:pPr>
    </w:lvl>
    <w:lvl w:ilvl="6" w:tplc="76D8D4B8">
      <w:start w:val="1"/>
      <w:numFmt w:val="decimal"/>
      <w:lvlText w:val="%7."/>
      <w:lvlJc w:val="left"/>
      <w:pPr>
        <w:ind w:left="4964" w:hanging="360"/>
      </w:pPr>
    </w:lvl>
    <w:lvl w:ilvl="7" w:tplc="29ECB96E">
      <w:start w:val="1"/>
      <w:numFmt w:val="lowerLetter"/>
      <w:lvlText w:val="%8."/>
      <w:lvlJc w:val="left"/>
      <w:pPr>
        <w:ind w:left="5684" w:hanging="360"/>
      </w:pPr>
    </w:lvl>
    <w:lvl w:ilvl="8" w:tplc="6A9675B4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6E0A5A"/>
    <w:multiLevelType w:val="hybridMultilevel"/>
    <w:tmpl w:val="8A264E8C"/>
    <w:lvl w:ilvl="0" w:tplc="9E885C76">
      <w:start w:val="1"/>
      <w:numFmt w:val="decimal"/>
      <w:lvlText w:val="%1."/>
      <w:lvlJc w:val="left"/>
      <w:pPr>
        <w:ind w:left="792" w:hanging="360"/>
      </w:pPr>
    </w:lvl>
    <w:lvl w:ilvl="1" w:tplc="792899C4">
      <w:start w:val="1"/>
      <w:numFmt w:val="lowerLetter"/>
      <w:lvlText w:val="%2."/>
      <w:lvlJc w:val="left"/>
      <w:pPr>
        <w:ind w:left="1512" w:hanging="360"/>
      </w:pPr>
    </w:lvl>
    <w:lvl w:ilvl="2" w:tplc="5FA808CC">
      <w:start w:val="1"/>
      <w:numFmt w:val="lowerRoman"/>
      <w:lvlText w:val="%3."/>
      <w:lvlJc w:val="right"/>
      <w:pPr>
        <w:ind w:left="2232" w:hanging="180"/>
      </w:pPr>
    </w:lvl>
    <w:lvl w:ilvl="3" w:tplc="F42CFF72">
      <w:start w:val="1"/>
      <w:numFmt w:val="decimal"/>
      <w:lvlText w:val="%4."/>
      <w:lvlJc w:val="left"/>
      <w:pPr>
        <w:ind w:left="2952" w:hanging="360"/>
      </w:pPr>
    </w:lvl>
    <w:lvl w:ilvl="4" w:tplc="6B24E59A">
      <w:start w:val="1"/>
      <w:numFmt w:val="lowerLetter"/>
      <w:lvlText w:val="%5."/>
      <w:lvlJc w:val="left"/>
      <w:pPr>
        <w:ind w:left="3672" w:hanging="360"/>
      </w:pPr>
    </w:lvl>
    <w:lvl w:ilvl="5" w:tplc="E416CE18">
      <w:start w:val="1"/>
      <w:numFmt w:val="lowerRoman"/>
      <w:lvlText w:val="%6."/>
      <w:lvlJc w:val="right"/>
      <w:pPr>
        <w:ind w:left="4392" w:hanging="180"/>
      </w:pPr>
    </w:lvl>
    <w:lvl w:ilvl="6" w:tplc="071E6F16">
      <w:start w:val="1"/>
      <w:numFmt w:val="decimal"/>
      <w:lvlText w:val="%7."/>
      <w:lvlJc w:val="left"/>
      <w:pPr>
        <w:ind w:left="5112" w:hanging="360"/>
      </w:pPr>
    </w:lvl>
    <w:lvl w:ilvl="7" w:tplc="27FC61F8">
      <w:start w:val="1"/>
      <w:numFmt w:val="lowerLetter"/>
      <w:lvlText w:val="%8."/>
      <w:lvlJc w:val="left"/>
      <w:pPr>
        <w:ind w:left="5832" w:hanging="360"/>
      </w:pPr>
    </w:lvl>
    <w:lvl w:ilvl="8" w:tplc="F72E5292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5D8B6A0E"/>
    <w:multiLevelType w:val="hybridMultilevel"/>
    <w:tmpl w:val="F26A8F0A"/>
    <w:lvl w:ilvl="0" w:tplc="07CC9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74C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C59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23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0C3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E0F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6B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45E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EF2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35"/>
    <w:rsid w:val="000C3288"/>
    <w:rsid w:val="00256977"/>
    <w:rsid w:val="002C25FB"/>
    <w:rsid w:val="003769BF"/>
    <w:rsid w:val="003E6780"/>
    <w:rsid w:val="0043445C"/>
    <w:rsid w:val="006A73D5"/>
    <w:rsid w:val="00716A19"/>
    <w:rsid w:val="007C16FD"/>
    <w:rsid w:val="007D0C66"/>
    <w:rsid w:val="0089130D"/>
    <w:rsid w:val="008A67A9"/>
    <w:rsid w:val="008D76AC"/>
    <w:rsid w:val="009138BA"/>
    <w:rsid w:val="00924039"/>
    <w:rsid w:val="00945DD2"/>
    <w:rsid w:val="00A9326A"/>
    <w:rsid w:val="00AA0543"/>
    <w:rsid w:val="00AA12B7"/>
    <w:rsid w:val="00B00322"/>
    <w:rsid w:val="00BC4563"/>
    <w:rsid w:val="00C55F1B"/>
    <w:rsid w:val="00CA2335"/>
    <w:rsid w:val="00CD4443"/>
    <w:rsid w:val="00D11658"/>
    <w:rsid w:val="00D133B0"/>
    <w:rsid w:val="00D94AF5"/>
    <w:rsid w:val="00DA2689"/>
    <w:rsid w:val="00DE1F97"/>
    <w:rsid w:val="00E43667"/>
    <w:rsid w:val="00E93FBB"/>
    <w:rsid w:val="00F2319E"/>
    <w:rsid w:val="00F4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1387"/>
  <w15:docId w15:val="{035D8C16-D131-40E0-A00A-E6022C7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720"/>
      <w:outlineLvl w:val="0"/>
    </w:pPr>
    <w:rPr>
      <w:rFonts w:ascii="Courier New" w:hAnsi="Courier New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</w:style>
  <w:style w:type="paragraph" w:styleId="af">
    <w:name w:val="foot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nformat">
    <w:name w:val="ConsNonformat"/>
    <w:rPr>
      <w:rFonts w:ascii="Consultant" w:hAnsi="Consultant"/>
    </w:rPr>
  </w:style>
  <w:style w:type="paragraph" w:styleId="af7">
    <w:name w:val="Body Text"/>
    <w:basedOn w:val="a"/>
    <w:pPr>
      <w:tabs>
        <w:tab w:val="left" w:pos="0"/>
        <w:tab w:val="left" w:pos="540"/>
      </w:tabs>
      <w:jc w:val="both"/>
    </w:pPr>
    <w:rPr>
      <w:b/>
    </w:rPr>
  </w:style>
  <w:style w:type="paragraph" w:customStyle="1" w:styleId="33">
    <w:name w:val="заголовок 3"/>
    <w:basedOn w:val="a"/>
    <w:next w:val="a"/>
    <w:pPr>
      <w:keepNext/>
    </w:pPr>
    <w:rPr>
      <w:rFonts w:ascii="Courier New" w:hAnsi="Courier New"/>
      <w:sz w:val="28"/>
      <w:szCs w:val="20"/>
    </w:rPr>
  </w:style>
  <w:style w:type="paragraph" w:styleId="af1">
    <w:name w:val="footnote text"/>
    <w:basedOn w:val="a"/>
    <w:link w:val="af0"/>
    <w:semiHidden/>
    <w:rPr>
      <w:rFonts w:ascii="Courier New" w:hAnsi="Courier New"/>
      <w:sz w:val="20"/>
      <w:szCs w:val="20"/>
    </w:rPr>
  </w:style>
  <w:style w:type="character" w:styleId="af8">
    <w:name w:val="footnote reference"/>
    <w:semiHidden/>
    <w:rPr>
      <w:vertAlign w:val="superscript"/>
    </w:rPr>
  </w:style>
  <w:style w:type="paragraph" w:styleId="af9">
    <w:name w:val="Body Text Indent"/>
    <w:basedOn w:val="a"/>
    <w:pPr>
      <w:spacing w:after="120"/>
      <w:ind w:left="283"/>
    </w:pPr>
  </w:style>
  <w:style w:type="table" w:styleId="afa">
    <w:name w:val="Table Grid"/>
    <w:basedOn w:val="a1"/>
    <w:pPr>
      <w:widowControl w:val="0"/>
      <w:spacing w:line="400" w:lineRule="auto"/>
    </w:pPr>
    <w:tblPr/>
  </w:style>
  <w:style w:type="paragraph" w:customStyle="1" w:styleId="afb">
    <w:name w:val="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c">
    <w:name w:val="Normal (Web)"/>
    <w:basedOn w:val="a"/>
    <w:uiPriority w:val="99"/>
    <w:pPr>
      <w:spacing w:after="200" w:line="276" w:lineRule="auto"/>
    </w:pPr>
    <w:rPr>
      <w:rFonts w:eastAsia="Calibri"/>
      <w:lang w:eastAsia="en-US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  <w:style w:type="character" w:styleId="aff5">
    <w:name w:val="Hyperlink"/>
    <w:uiPriority w:val="99"/>
    <w:unhideWhenUsed/>
    <w:rPr>
      <w:color w:val="0000FF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strr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k.reestrrn.ru" TargetMode="External"/><Relationship Id="rId12" Type="http://schemas.openxmlformats.org/officeDocument/2006/relationships/hyperlink" Target="http://www.reestr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atovenerg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estr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k.reestr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 «__________»</vt:lpstr>
    </vt:vector>
  </TitlesOfParts>
  <Company>ОАО "НК Роснефть"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 «__________»</dc:title>
  <dc:creator>KozlovOA</dc:creator>
  <cp:lastModifiedBy>Каранова Анна Юрьевна</cp:lastModifiedBy>
  <cp:revision>2</cp:revision>
  <cp:lastPrinted>2025-08-05T07:47:00Z</cp:lastPrinted>
  <dcterms:created xsi:type="dcterms:W3CDTF">2025-08-05T07:49:00Z</dcterms:created>
  <dcterms:modified xsi:type="dcterms:W3CDTF">2025-08-05T07:49:00Z</dcterms:modified>
  <cp:version>1048576</cp:version>
</cp:coreProperties>
</file>