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3"/>
        <w:jc w:val="both"/>
        <w:spacing w:before="0"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30 июля</w:t>
      </w:r>
      <w:r>
        <w:rPr>
          <w:rFonts w:ascii="Liberation Serif" w:hAnsi="Liberation Serif" w:cs="Liberation Serif"/>
          <w:b/>
          <w:sz w:val="24"/>
          <w:szCs w:val="24"/>
        </w:rPr>
        <w:t xml:space="preserve"> 2026 г.  г. Саратов</w:t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pStyle w:val="923"/>
        <w:spacing w:before="0"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pStyle w:val="944"/>
        <w:rPr>
          <w:rFonts w:ascii="Liberation Serif" w:hAnsi="Liberation Serif" w:eastAsia="Times New Roman" w:cs="Liberation Serif"/>
          <w:b/>
          <w:bCs/>
          <w:highlight w:val="none"/>
        </w:rPr>
      </w:pPr>
      <w:r>
        <w:rPr>
          <w:rFonts w:ascii="Liberation Serif" w:hAnsi="Liberation Serif" w:eastAsia="Times New Roman" w:cs="Liberation Serif"/>
          <w:b/>
        </w:rPr>
        <w:t xml:space="preserve">ПАО «Саратовэнерго» подвело итоги производственной деятельности за 1 полугодие</w:t>
      </w:r>
      <w:r>
        <w:rPr>
          <w:rFonts w:ascii="Liberation Serif" w:hAnsi="Liberation Serif" w:eastAsia="Times New Roman" w:cs="Liberation Serif"/>
          <w:b/>
        </w:rPr>
        <w:t xml:space="preserve"> 2026 года</w:t>
      </w:r>
      <w:r>
        <w:rPr>
          <w:rFonts w:ascii="Liberation Serif" w:hAnsi="Liberation Serif" w:eastAsia="Times New Roman" w:cs="Liberation Serif"/>
          <w:b/>
          <w:bCs/>
          <w:highlight w:val="none"/>
        </w:rPr>
      </w:r>
      <w:r>
        <w:rPr>
          <w:rFonts w:ascii="Liberation Serif" w:hAnsi="Liberation Serif" w:eastAsia="Times New Roman" w:cs="Liberation Serif"/>
          <w:b/>
          <w:bCs/>
          <w:highlight w:val="none"/>
        </w:rPr>
      </w:r>
    </w:p>
    <w:p>
      <w:pPr>
        <w:pStyle w:val="944"/>
        <w:rPr>
          <w:rFonts w:ascii="Liberation Serif" w:hAnsi="Liberation Serif" w:eastAsia="Times New Roman" w:cs="Liberation Serif"/>
          <w:b/>
          <w:bCs/>
        </w:rPr>
      </w:pPr>
      <w:r>
        <w:rPr>
          <w:rFonts w:ascii="Liberation Serif" w:hAnsi="Liberation Serif" w:eastAsia="Times New Roman" w:cs="Liberation Serif"/>
          <w:b/>
          <w:highlight w:val="none"/>
        </w:rPr>
      </w:r>
      <w:r>
        <w:rPr>
          <w:rFonts w:ascii="Liberation Serif" w:hAnsi="Liberation Serif" w:eastAsia="Times New Roman" w:cs="Liberation Serif"/>
          <w:b/>
          <w:bCs/>
        </w:rPr>
      </w:r>
      <w:r>
        <w:rPr>
          <w:rFonts w:ascii="Liberation Serif" w:hAnsi="Liberation Serif" w:eastAsia="Times New Roman" w:cs="Liberation Serif"/>
          <w:b/>
          <w:bCs/>
        </w:rPr>
      </w:r>
    </w:p>
    <w:p>
      <w:pPr>
        <w:pStyle w:val="944"/>
        <w:jc w:val="both"/>
        <w:rPr>
          <w:rFonts w:ascii="Liberation Serif" w:hAnsi="Liberation Serif" w:eastAsia="Times New Roman" w:cs="Liberation Serif"/>
          <w:bCs/>
        </w:rPr>
      </w:pPr>
      <w:r>
        <w:rPr>
          <w:rFonts w:ascii="Liberation Serif" w:hAnsi="Liberation Serif" w:eastAsia="Times New Roman" w:cs="Liberation Serif"/>
          <w:bCs/>
        </w:rPr>
        <w:t xml:space="preserve">ПАО «Саратовэнерго» опубликовало производственные показатели по итогам </w:t>
      </w:r>
      <w:r>
        <w:rPr>
          <w:rFonts w:ascii="Liberation Serif" w:hAnsi="Liberation Serif" w:eastAsia="Times New Roman" w:cs="Liberation Serif"/>
          <w:bCs/>
        </w:rPr>
      </w:r>
      <w:r>
        <w:rPr>
          <w:rFonts w:ascii="Liberation Serif" w:hAnsi="Liberation Serif" w:eastAsia="Times New Roman" w:cs="Liberation Serif"/>
          <w:bCs/>
        </w:rPr>
      </w:r>
    </w:p>
    <w:p>
      <w:pPr>
        <w:pStyle w:val="944"/>
        <w:jc w:val="both"/>
        <w:rPr>
          <w:rFonts w:ascii="Liberation Serif" w:hAnsi="Liberation Serif" w:eastAsia="Times New Roman" w:cs="Liberation Serif"/>
          <w:bCs/>
        </w:rPr>
      </w:pPr>
      <w:r>
        <w:rPr>
          <w:rFonts w:ascii="Liberation Serif" w:hAnsi="Liberation Serif" w:eastAsia="Times New Roman" w:cs="Liberation Serif"/>
          <w:bCs/>
        </w:rPr>
      </w:r>
      <w:r>
        <w:rPr>
          <w:rFonts w:ascii="Liberation Serif" w:hAnsi="Liberation Serif" w:eastAsia="Times New Roman" w:cs="Liberation Serif"/>
          <w:bCs/>
        </w:rPr>
        <w:t xml:space="preserve">1 полугодия</w:t>
      </w:r>
      <w:r>
        <w:rPr>
          <w:rFonts w:ascii="Liberation Serif" w:hAnsi="Liberation Serif" w:eastAsia="Times New Roman" w:cs="Liberation Serif"/>
          <w:bCs/>
        </w:rPr>
        <w:t xml:space="preserve"> 2026 года.</w:t>
      </w:r>
      <w:r>
        <w:rPr>
          <w:rFonts w:ascii="Liberation Serif" w:hAnsi="Liberation Serif" w:eastAsia="Times New Roman" w:cs="Liberation Serif"/>
          <w:bCs/>
        </w:rPr>
      </w:r>
      <w:r>
        <w:rPr>
          <w:rFonts w:ascii="Liberation Serif" w:hAnsi="Liberation Serif" w:eastAsia="Times New Roman" w:cs="Liberation Serif"/>
          <w:bCs/>
        </w:rPr>
      </w:r>
    </w:p>
    <w:p>
      <w:pPr>
        <w:pStyle w:val="923"/>
        <w:spacing w:before="0"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tbl>
      <w:tblPr>
        <w:tblW w:w="5000" w:type="pct"/>
        <w:tblInd w:w="-5" w:type="dxa"/>
        <w:tblLayout w:type="fixed"/>
        <w:tblCellMar>
          <w:left w:w="150" w:type="dxa"/>
          <w:top w:w="105" w:type="dxa"/>
          <w:right w:w="150" w:type="dxa"/>
          <w:bottom w:w="105" w:type="dxa"/>
        </w:tblCellMar>
        <w:tblLook w:val="04A0" w:firstRow="1" w:lastRow="0" w:firstColumn="1" w:lastColumn="0" w:noHBand="0" w:noVBand="1"/>
      </w:tblPr>
      <w:tblGrid>
        <w:gridCol w:w="3203"/>
        <w:gridCol w:w="1346"/>
        <w:gridCol w:w="1592"/>
        <w:gridCol w:w="1611"/>
        <w:gridCol w:w="1902"/>
      </w:tblGrid>
      <w:tr>
        <w:tblPrEx/>
        <w:trPr>
          <w:trHeight w:val="709"/>
        </w:trPr>
        <w:tc>
          <w:tcPr>
            <w:shd w:val="clear" w:color="auto" w:fill="f79646" w:themeFill="accent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3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Показатель</w:t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79646" w:themeFill="accent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  <w:bottom w:w="0" w:type="dxa"/>
            </w:tcMar>
            <w:tcW w:w="1346" w:type="dxa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Единица</w:t>
              <w:br/>
              <w:t xml:space="preserve">измерения</w:t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79646" w:themeFill="accent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2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1 полугодие</w:t>
            </w: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br/>
              <w:t xml:space="preserve">2026 года</w:t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79646" w:themeFill="accent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1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eastAsia="Times New Roman" w:cs="Liberation Serif"/>
                <w:b/>
              </w:rPr>
            </w: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1 полугодие</w:t>
            </w: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br/>
              <w:t xml:space="preserve">2025 года</w:t>
            </w:r>
            <w:r>
              <w:rPr>
                <w:rFonts w:ascii="Liberation Serif" w:hAnsi="Liberation Serif" w:eastAsia="Times New Roman" w:cs="Liberation Serif"/>
                <w:b/>
              </w:rPr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79646" w:themeFill="accent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2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Изменение, %</w:t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85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3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left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Количество потребителей физических и юридических лиц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  <w:bottom w:w="0" w:type="dxa"/>
            </w:tcMar>
            <w:tcW w:w="1346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шт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2" w:type="dxa"/>
            <w:vAlign w:val="center"/>
            <w:textDirection w:val="lrTb"/>
            <w:noWrap w:val="false"/>
          </w:tcPr>
          <w:p>
            <w:pPr>
              <w:pStyle w:val="953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776 113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1" w:type="dxa"/>
            <w:vAlign w:val="center"/>
            <w:textDirection w:val="lrTb"/>
            <w:noWrap w:val="false"/>
          </w:tcPr>
          <w:p>
            <w:pPr>
              <w:pStyle w:val="953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768 254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2" w:type="dxa"/>
            <w:vAlign w:val="center"/>
            <w:textDirection w:val="lrTb"/>
            <w:noWrap w:val="false"/>
          </w:tcPr>
          <w:p>
            <w:pPr>
              <w:pStyle w:val="953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1,0 %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75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3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left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Объём реализации электрической энергии на розничном рынке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  <w:bottom w:w="0" w:type="dxa"/>
            </w:tcMar>
            <w:tcW w:w="1346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млрд кВт*ч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2" w:type="dxa"/>
            <w:vAlign w:val="center"/>
            <w:textDirection w:val="lrTb"/>
            <w:noWrap w:val="false"/>
          </w:tcPr>
          <w:p>
            <w:pPr>
              <w:pStyle w:val="953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2,905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1" w:type="dxa"/>
            <w:vAlign w:val="center"/>
            <w:textDirection w:val="lrTb"/>
            <w:noWrap w:val="false"/>
          </w:tcPr>
          <w:p>
            <w:pPr>
              <w:pStyle w:val="953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2,872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2" w:type="dxa"/>
            <w:vAlign w:val="center"/>
            <w:textDirection w:val="lrTb"/>
            <w:noWrap w:val="false"/>
          </w:tcPr>
          <w:p>
            <w:pPr>
              <w:pStyle w:val="953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1,1 %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55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3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left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Доля рынка в регионах присутствия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  <w:bottom w:w="0" w:type="dxa"/>
            </w:tcMar>
            <w:tcW w:w="1346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%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2" w:type="dxa"/>
            <w:vAlign w:val="center"/>
            <w:textDirection w:val="lrTb"/>
            <w:noWrap w:val="false"/>
          </w:tcPr>
          <w:p>
            <w:pPr>
              <w:pStyle w:val="953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55,5 %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1" w:type="dxa"/>
            <w:vAlign w:val="center"/>
            <w:textDirection w:val="lrTb"/>
            <w:noWrap w:val="false"/>
          </w:tcPr>
          <w:p>
            <w:pPr>
              <w:pStyle w:val="953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56,2 %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2" w:type="dxa"/>
            <w:vAlign w:val="center"/>
            <w:textDirection w:val="lrTb"/>
            <w:noWrap w:val="false"/>
          </w:tcPr>
          <w:p>
            <w:pPr>
              <w:pStyle w:val="953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1,2 %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</w:tr>
    </w:tbl>
    <w:p>
      <w:pPr>
        <w:pStyle w:val="923"/>
        <w:ind w:firstLine="708"/>
        <w:jc w:val="both"/>
        <w:spacing w:before="0" w:after="0" w:line="240" w:lineRule="auto"/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</w:r>
    </w:p>
    <w:p>
      <w:pPr>
        <w:pStyle w:val="923"/>
        <w:ind w:firstLine="708"/>
        <w:jc w:val="both"/>
        <w:spacing w:before="0" w:afterAutospacing="1" w:line="240" w:lineRule="auto"/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бщее количество обслуживаемых компанией потребителей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за первое полугодие 2026 года увеличилось на 7 859 абонентов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относительно аналогичного периода 2025 года. По состоянию на 30 июня 2026 года заключены 21 208 договоров с по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требителями из числа юридических лиц и 754 905 договоров с клиентами – физическими лицами за счет перехода многоквартирных домов на прямые договоры.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/>
    </w:p>
    <w:p>
      <w:pPr>
        <w:pStyle w:val="923"/>
        <w:ind w:firstLine="708"/>
        <w:jc w:val="both"/>
        <w:spacing w:before="0" w:afterAutospacing="1" w:line="240" w:lineRule="auto"/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 ит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огам первого полугодия 2026 года ПАО «Саратовэнерго» реализовало на розничном рынке 2 905 млн кВт*ч. Увеличение объёма по сравнению с аналогичным периодом прошлого года составило 33 млн кВт*ч и обусловлено, в том числе, влиянием климатических факторов: холодная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зима и весна в начале 2026 года привела к увеличению объёмов электропотребления населением и приравненных к ним категорий потребителей.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/>
    </w:p>
    <w:p>
      <w:pPr>
        <w:pStyle w:val="923"/>
        <w:ind w:firstLine="708"/>
        <w:jc w:val="both"/>
        <w:spacing w:before="0" w:afterAutospacing="1" w:line="240" w:lineRule="auto"/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ажной задачей в работе с клиентами остаётся развитие онлайн-сервисов, включая Личный кабинет клиента и сервисы передачи показаний. По состоянию на 30 июня 2026 года более 180,8 тысячи клиентов компании получают электронный платёжный документ по электро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ой почте и смс. Рост данного показателя к аналогичному показателю 1 полугодия 2025 года составил 8,9%. В рамках онлайн-сервисов «Саратовэнерго» клиенты компании используют возможность оплаты услуги без комиссии. Система электронных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ведомлений позволяет подписавшимся на них клиентам – физическим лицам быть в курсе актуальных начислений, получать напоминания о сроках передачи показаний счётчиков электроэнергии, а также своевременно узнавать о новых предложениях компании. Клиенты компан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ии также активно используют внедренный на сайте чат, который позволяет решать большинство возникающих запросов, включая передачу показаний и уточнение начислений.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Юридические лица активно взаимодействуют через специализированный Личный кабинет ПАО «Саратовэнерго», а также через сервисы электронного документооборота.</w:t>
      </w:r>
      <w:r/>
    </w:p>
    <w:p>
      <w:pPr>
        <w:pStyle w:val="923"/>
        <w:ind w:firstLine="708"/>
        <w:jc w:val="both"/>
        <w:spacing w:before="0" w:afterAutospacing="1" w:line="240" w:lineRule="auto"/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дной из ключевых задач для Общества продолжает оставаться повышение эффективности работы с дебиторской задолженностью. В целях снижения просроченной дебиторской задолженности потребителей компанией ведется работа по досудебному и судебному взысканию, привл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чению к административной и уголовной ответственности неплательщиков.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 итогам шести месяцев было подано 737 исковых заявлений в отношении юридических лиц на общую сумму 841,7 млн. рублей и 3 261 исковое заявление и заявление о выдаче судебного приказа в отношении физических лиц на общую сумму более 34,9 млн рублей.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/>
    </w:p>
    <w:p>
      <w:pPr>
        <w:ind w:firstLine="708"/>
        <w:jc w:val="both"/>
        <w:spacing w:before="0" w:afterAutospacing="1" w:line="240" w:lineRule="auto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Одной из самых эффективных мер борьбы с неплательщиками является введение ограничения подачи электроэнергии. Всего за первое полугодие было проведено 3 431 ограничение в строгом соответствии с законодательством.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pStyle w:val="923"/>
        <w:ind w:firstLine="708"/>
        <w:jc w:val="both"/>
        <w:spacing w:before="0" w:afterAutospacing="1" w:line="240" w:lineRule="auto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pStyle w:val="923"/>
        <w:ind w:firstLine="708"/>
        <w:jc w:val="both"/>
        <w:spacing w:before="0" w:after="0" w:line="240" w:lineRule="auto"/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19050" distL="0" distR="17780" simplePos="0" relativeHeight="3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48895</wp:posOffset>
                </wp:positionV>
                <wp:extent cx="5982970" cy="635"/>
                <wp:effectExtent l="14604" t="14604" r="14604" b="14604"/>
                <wp:wrapNone/>
                <wp:docPr id="3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82840" cy="7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59240"/>
                          </a:solidFill>
                          <a:round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" o:spid="_x0000_s2" style="position:absolute;left:0;text-align:left;z-index:3;mso-wrap-distance-left:0.00pt;mso-wrap-distance-top:1.50pt;mso-wrap-distance-right:1.40pt;mso-wrap-distance-bottom:1.50pt;visibility:visible;" from="-0.8pt,3.8pt" to="470.3pt,3.9pt" filled="f" strokecolor="#F59240" strokeweight="2.25pt">
                <v:stroke dashstyle="solid"/>
              </v:line>
            </w:pict>
          </mc:Fallback>
        </mc:AlternateContent>
      </w:r>
      <w:r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</w:r>
    </w:p>
    <w:p>
      <w:pPr>
        <w:pStyle w:val="923"/>
        <w:ind w:firstLine="709"/>
        <w:jc w:val="both"/>
        <w:spacing w:before="0" w:after="0" w:line="240" w:lineRule="auto"/>
        <w:rPr>
          <w:rFonts w:ascii="Liberation Serif" w:hAnsi="Liberation Serif" w:eastAsia="Calibri" w:cs="Liberation Serif"/>
          <w:b/>
          <w:sz w:val="18"/>
          <w:szCs w:val="18"/>
        </w:rPr>
      </w:pPr>
      <w:r/>
      <w:bookmarkStart w:id="1" w:name="_Hlk172531249"/>
      <w:r>
        <w:rPr>
          <w:rFonts w:ascii="Liberation Serif" w:hAnsi="Liberation Serif" w:eastAsia="Calibri" w:cs="Liberation Serif"/>
          <w:b/>
          <w:sz w:val="18"/>
          <w:szCs w:val="18"/>
        </w:rPr>
        <w:t xml:space="preserve">ПАО «Саратовэнерго» </w:t>
      </w:r>
      <w:r>
        <w:rPr>
          <w:rFonts w:ascii="Liberation Serif" w:hAnsi="Liberation Serif" w:eastAsia="Calibri" w:cs="Liberation Serif"/>
          <w:sz w:val="18"/>
          <w:szCs w:val="18"/>
        </w:rPr>
        <w:t xml:space="preserve">- </w:t>
      </w:r>
      <w:r>
        <w:rPr>
          <w:rFonts w:ascii="Liberation Serif" w:hAnsi="Liberation Serif" w:eastAsia="Calibri" w:cs="Liberation Serif"/>
          <w:sz w:val="18"/>
          <w:szCs w:val="18"/>
        </w:rPr>
        <w:t xml:space="preserve">гарантирующий поставщик электроэнергии в Саратовской области. Потребителями компании являются более 21 тыс. юридических лиц и более 754 тыс. бытовых абонентов. Объём полезного отпуска электроэнергии за 1 полугодие 2026 года составил 2 905 млн кВт*ч. </w:t>
      </w:r>
      <w:r>
        <w:rPr>
          <w:rFonts w:ascii="Liberation Serif" w:hAnsi="Liberation Serif" w:eastAsia="Calibri" w:cs="Liberation Serif"/>
          <w:sz w:val="18"/>
          <w:szCs w:val="18"/>
        </w:rPr>
        <w:t xml:space="preserve">Основным акционером ПАО «Саратовэнерго» является ПАО «Интер РАО».</w:t>
      </w:r>
      <w:r>
        <w:rPr>
          <w:rFonts w:ascii="Liberation Serif" w:hAnsi="Liberation Serif" w:eastAsia="Calibri" w:cs="Liberation Serif"/>
          <w:b/>
          <w:sz w:val="18"/>
          <w:szCs w:val="18"/>
        </w:rPr>
      </w:r>
      <w:r>
        <w:rPr>
          <w:rFonts w:ascii="Liberation Serif" w:hAnsi="Liberation Serif" w:eastAsia="Calibri" w:cs="Liberation Serif"/>
          <w:b/>
          <w:sz w:val="18"/>
          <w:szCs w:val="18"/>
        </w:rPr>
      </w:r>
    </w:p>
    <w:p>
      <w:pPr>
        <w:pStyle w:val="923"/>
        <w:jc w:val="both"/>
        <w:spacing w:before="0" w:after="0" w:line="240" w:lineRule="auto"/>
        <w:rPr>
          <w:rStyle w:val="927"/>
          <w:rFonts w:ascii="Liberation Serif" w:hAnsi="Liberation Serif" w:eastAsia="Calibri" w:cs="Liberation Serif"/>
          <w:sz w:val="18"/>
          <w:szCs w:val="18"/>
        </w:rPr>
      </w:pPr>
      <w:r/>
      <w:hyperlink r:id="rId12" w:tooltip="http://www.saratovenergo.ru/" w:history="1">
        <w:r>
          <w:rPr>
            <w:rStyle w:val="927"/>
            <w:rFonts w:ascii="Liberation Serif" w:hAnsi="Liberation Serif" w:eastAsia="Calibri" w:cs="Liberation Serif"/>
            <w:sz w:val="18"/>
            <w:szCs w:val="18"/>
            <w:lang w:val="en-US"/>
          </w:rPr>
          <w:t xml:space="preserve">www</w:t>
        </w:r>
        <w:r>
          <w:rPr>
            <w:rStyle w:val="927"/>
            <w:rFonts w:ascii="Liberation Serif" w:hAnsi="Liberation Serif" w:eastAsia="Calibri" w:cs="Liberation Serif"/>
            <w:sz w:val="18"/>
            <w:szCs w:val="18"/>
          </w:rPr>
          <w:t xml:space="preserve">.</w:t>
        </w:r>
        <w:r>
          <w:rPr>
            <w:rStyle w:val="927"/>
            <w:rFonts w:ascii="Liberation Serif" w:hAnsi="Liberation Serif" w:eastAsia="Calibri" w:cs="Liberation Serif"/>
            <w:sz w:val="18"/>
            <w:szCs w:val="18"/>
            <w:lang w:val="en-US"/>
          </w:rPr>
          <w:t xml:space="preserve">saratovenergo</w:t>
        </w:r>
        <w:r>
          <w:rPr>
            <w:rStyle w:val="927"/>
            <w:rFonts w:ascii="Liberation Serif" w:hAnsi="Liberation Serif" w:eastAsia="Calibri" w:cs="Liberation Serif"/>
            <w:sz w:val="18"/>
            <w:szCs w:val="18"/>
          </w:rPr>
          <w:t xml:space="preserve">.</w:t>
        </w:r>
        <w:r>
          <w:rPr>
            <w:rStyle w:val="927"/>
            <w:rFonts w:ascii="Liberation Serif" w:hAnsi="Liberation Serif" w:eastAsia="Calibri" w:cs="Liberation Serif"/>
            <w:sz w:val="18"/>
            <w:szCs w:val="18"/>
            <w:lang w:val="en-US"/>
          </w:rPr>
          <w:t xml:space="preserve">ru</w:t>
        </w:r>
      </w:hyperlink>
      <w:r/>
      <w:bookmarkEnd w:id="1"/>
      <w:r>
        <w:rPr>
          <w:rStyle w:val="927"/>
          <w:rFonts w:ascii="Liberation Serif" w:hAnsi="Liberation Serif" w:eastAsia="Calibri" w:cs="Liberation Serif"/>
          <w:sz w:val="18"/>
          <w:szCs w:val="18"/>
        </w:rPr>
      </w:r>
      <w:r>
        <w:rPr>
          <w:rStyle w:val="927"/>
          <w:rFonts w:ascii="Liberation Serif" w:hAnsi="Liberation Serif" w:eastAsia="Calibri" w:cs="Liberation Serif"/>
          <w:sz w:val="18"/>
          <w:szCs w:val="18"/>
        </w:rPr>
      </w:r>
    </w:p>
    <w:sectPr>
      <w:headerReference w:type="default" r:id="rId8"/>
      <w:headerReference w:type="first" r:id="rId9"/>
      <w:footerReference w:type="default" r:id="rId10"/>
      <w:footnotePr/>
      <w:endnotePr/>
      <w:type w:val="nextPage"/>
      <w:pgSz w:w="11906" w:h="16838" w:orient="portrait"/>
      <w:pgMar w:top="765" w:right="851" w:bottom="765" w:left="1701" w:header="708" w:footer="708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ahoma Bold">
    <w:panose1 w:val="020B0604030504040204"/>
  </w:font>
  <w:font w:name="Noto Sans Devanagari">
    <w:panose1 w:val="020B0502040504020204"/>
  </w:font>
  <w:font w:name="SimSun">
    <w:panose1 w:val="02000506000000020000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7"/>
    </w:pPr>
    <w:r/>
    <w:r/>
  </w:p>
  <w:p>
    <w:pPr>
      <w:pStyle w:val="94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  <w:ind w:left="170"/>
      <w:rPr>
        <w:rFonts w:ascii="Tahoma Bold" w:hAnsi="Tahoma Bold" w:eastAsia="Times New Roman"/>
        <w:b/>
        <w:bCs/>
        <w:color w:val="003264"/>
        <w:sz w:val="20"/>
        <w:szCs w:val="20"/>
        <w:lang w:eastAsia="ru-RU"/>
      </w:rPr>
    </w:pPr>
    <w:r>
      <w:rPr>
        <w:rFonts w:ascii="Tahoma Bold" w:hAnsi="Tahoma Bold" w:eastAsia="Times New Roman"/>
        <w:b/>
        <w:bCs/>
        <w:color w:val="003264"/>
        <w:sz w:val="20"/>
        <w:szCs w:val="20"/>
        <w:lang w:eastAsia="ru-RU"/>
      </w:rPr>
    </w:r>
    <w:r>
      <w:rPr>
        <w:rFonts w:ascii="Tahoma Bold" w:hAnsi="Tahoma Bold" w:eastAsia="Times New Roman"/>
        <w:b/>
        <w:bCs/>
        <w:color w:val="003264"/>
        <w:sz w:val="20"/>
        <w:szCs w:val="20"/>
        <w:lang w:eastAsia="ru-RU"/>
      </w:rPr>
    </w:r>
    <w:r>
      <w:rPr>
        <w:rFonts w:ascii="Tahoma Bold" w:hAnsi="Tahoma Bold" w:eastAsia="Times New Roman"/>
        <w:b/>
        <w:bCs/>
        <w:color w:val="003264"/>
        <w:sz w:val="20"/>
        <w:szCs w:val="20"/>
        <w:lang w:eastAsia="ru-RU"/>
      </w:rPr>
    </w:r>
  </w:p>
  <w:p>
    <w:pPr>
      <w:pStyle w:val="94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  <w:ind w:left="170"/>
      <w:rPr>
        <w:rFonts w:ascii="Tahoma Bold" w:hAnsi="Tahoma Bold" w:eastAsia="Times New Roman"/>
        <w:b/>
        <w:bCs/>
        <w:color w:val="003264"/>
        <w:sz w:val="20"/>
        <w:szCs w:val="20"/>
        <w:lang w:eastAsia="ru-RU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" behindDoc="1" locked="0" layoutInCell="1" allowOverlap="1">
              <wp:simplePos x="0" y="0"/>
              <wp:positionH relativeFrom="column">
                <wp:posOffset>2834640</wp:posOffset>
              </wp:positionH>
              <wp:positionV relativeFrom="paragraph">
                <wp:posOffset>29845</wp:posOffset>
              </wp:positionV>
              <wp:extent cx="2962275" cy="476250"/>
              <wp:effectExtent l="0" t="0" r="0" b="0"/>
              <wp:wrapNone/>
              <wp:docPr id="1" name="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2962440" cy="476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949"/>
                            <w:ind w:left="170"/>
                            <w:spacing w:before="0" w:after="0" w:line="240" w:lineRule="auto"/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  <w:t xml:space="preserve">Пресс-служба ПАО «Саратовэнерго»</w:t>
                          </w: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r>
                        </w:p>
                        <w:p>
                          <w:pPr>
                            <w:pStyle w:val="949"/>
                            <w:ind w:left="170"/>
                            <w:spacing w:before="0" w:after="0" w:line="240" w:lineRule="auto"/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  <w:t xml:space="preserve">410002,  г. Саратов, ул. им. Мичурина И.В, 166/168,</w:t>
                          </w: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r>
                        </w:p>
                        <w:p>
                          <w:pPr>
                            <w:pStyle w:val="949"/>
                            <w:ind w:left="170"/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  <w:t xml:space="preserve">Телефон: +7 (8452) 57 33 88</w:t>
                          </w: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r>
                        </w:p>
                        <w:p>
                          <w:pPr>
                            <w:pStyle w:val="949"/>
                            <w:spacing w:before="0" w:after="200"/>
                          </w:pPr>
                          <w:r/>
                          <w:r/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4;o:allowoverlap:true;o:allowincell:true;mso-position-horizontal-relative:text;margin-left:223.20pt;mso-position-horizontal:absolute;mso-position-vertical-relative:text;margin-top:2.35pt;mso-position-vertical:absolute;width:233.25pt;height:37.50pt;mso-wrap-distance-left:0.00pt;mso-wrap-distance-top:0.00pt;mso-wrap-distance-right:0.00pt;mso-wrap-distance-bottom:0.00pt;v-text-anchor:top;visibility:visible;" fillcolor="#FFFFFF" stroked="f" strokeweight="0.00pt">
              <v:textbox inset="0,0,0,0">
                <w:txbxContent>
                  <w:p>
                    <w:pPr>
                      <w:pStyle w:val="949"/>
                      <w:ind w:left="170"/>
                      <w:spacing w:before="0" w:after="0" w:line="240" w:lineRule="auto"/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  <w:t xml:space="preserve">Пресс-служба ПАО «Саратовэнерго»</w:t>
                    </w: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r>
                  </w:p>
                  <w:p>
                    <w:pPr>
                      <w:pStyle w:val="949"/>
                      <w:ind w:left="170"/>
                      <w:spacing w:before="0" w:after="0" w:line="240" w:lineRule="auto"/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  <w:t xml:space="preserve">410002,  г. Саратов, ул. им. Мичурина И.В, 166/168,</w:t>
                    </w: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r>
                  </w:p>
                  <w:p>
                    <w:pPr>
                      <w:pStyle w:val="949"/>
                      <w:ind w:left="170"/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  <w:t xml:space="preserve">Телефон: +7 (8452) 57 33 88</w:t>
                    </w: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r>
                  </w:p>
                  <w:p>
                    <w:pPr>
                      <w:pStyle w:val="949"/>
                      <w:spacing w:before="0" w:after="200"/>
                    </w:pPr>
                    <w:r/>
                    <w:r/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inline xmlns:wp="http://schemas.openxmlformats.org/drawingml/2006/wordprocessingDrawing" distT="0" distB="0" distL="0" distR="0">
              <wp:extent cx="2607945" cy="476885"/>
              <wp:effectExtent l="0" t="0" r="0" b="0"/>
              <wp:docPr id="2" name="Рисунок 5" descr="N:\ОБЩИЕ_ПАПКИ_ОТДЕЛОВ\Пресс-служба\saratovenergo_logo\лого_new\Лого и слоган Саратовэнерго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Рисунок 5" descr="N:\ОБЩИЕ_ПАПКИ_ОТДЕЛОВ\Пресс-служба\saratovenergo_logo\лого_new\Лого и слоган Саратовэнерго.jp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607945" cy="4768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205.35pt;height:37.55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>
      <w:rPr>
        <w:rFonts w:ascii="Tahoma Bold" w:hAnsi="Tahoma Bold" w:eastAsia="Times New Roman"/>
        <w:b/>
        <w:bCs/>
        <w:color w:val="003264"/>
        <w:sz w:val="20"/>
        <w:szCs w:val="20"/>
        <w:lang w:eastAsia="ru-RU"/>
      </w:rPr>
    </w:r>
    <w:r>
      <w:rPr>
        <w:rFonts w:ascii="Tahoma Bold" w:hAnsi="Tahoma Bold" w:eastAsia="Times New Roman"/>
        <w:b/>
        <w:bCs/>
        <w:color w:val="003264"/>
        <w:sz w:val="20"/>
        <w:szCs w:val="20"/>
        <w:lang w:eastAsia="ru-RU"/>
      </w:rPr>
    </w:r>
  </w:p>
  <w:p>
    <w:pPr>
      <w:pStyle w:val="94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1">
    <w:name w:val="Heading 1"/>
    <w:basedOn w:val="923"/>
    <w:next w:val="923"/>
    <w:link w:val="75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2">
    <w:name w:val="Heading 1 Char"/>
    <w:basedOn w:val="924"/>
    <w:link w:val="751"/>
    <w:uiPriority w:val="9"/>
    <w:rPr>
      <w:rFonts w:ascii="Arial" w:hAnsi="Arial" w:eastAsia="Arial" w:cs="Arial"/>
      <w:sz w:val="40"/>
      <w:szCs w:val="40"/>
    </w:rPr>
  </w:style>
  <w:style w:type="paragraph" w:styleId="753">
    <w:name w:val="Heading 2"/>
    <w:basedOn w:val="923"/>
    <w:next w:val="923"/>
    <w:link w:val="75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54">
    <w:name w:val="Heading 2 Char"/>
    <w:basedOn w:val="924"/>
    <w:link w:val="753"/>
    <w:uiPriority w:val="9"/>
    <w:rPr>
      <w:rFonts w:ascii="Arial" w:hAnsi="Arial" w:eastAsia="Arial" w:cs="Arial"/>
      <w:sz w:val="34"/>
    </w:rPr>
  </w:style>
  <w:style w:type="paragraph" w:styleId="755">
    <w:name w:val="Heading 3"/>
    <w:basedOn w:val="923"/>
    <w:next w:val="923"/>
    <w:link w:val="75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6">
    <w:name w:val="Heading 3 Char"/>
    <w:basedOn w:val="924"/>
    <w:link w:val="755"/>
    <w:uiPriority w:val="9"/>
    <w:rPr>
      <w:rFonts w:ascii="Arial" w:hAnsi="Arial" w:eastAsia="Arial" w:cs="Arial"/>
      <w:sz w:val="30"/>
      <w:szCs w:val="30"/>
    </w:rPr>
  </w:style>
  <w:style w:type="paragraph" w:styleId="757">
    <w:name w:val="Heading 4"/>
    <w:basedOn w:val="923"/>
    <w:next w:val="923"/>
    <w:link w:val="75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8">
    <w:name w:val="Heading 4 Char"/>
    <w:basedOn w:val="924"/>
    <w:link w:val="757"/>
    <w:uiPriority w:val="9"/>
    <w:rPr>
      <w:rFonts w:ascii="Arial" w:hAnsi="Arial" w:eastAsia="Arial" w:cs="Arial"/>
      <w:b/>
      <w:bCs/>
      <w:sz w:val="26"/>
      <w:szCs w:val="26"/>
    </w:rPr>
  </w:style>
  <w:style w:type="paragraph" w:styleId="759">
    <w:name w:val="Heading 5"/>
    <w:basedOn w:val="923"/>
    <w:next w:val="923"/>
    <w:link w:val="76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0">
    <w:name w:val="Heading 5 Char"/>
    <w:basedOn w:val="924"/>
    <w:link w:val="759"/>
    <w:uiPriority w:val="9"/>
    <w:rPr>
      <w:rFonts w:ascii="Arial" w:hAnsi="Arial" w:eastAsia="Arial" w:cs="Arial"/>
      <w:b/>
      <w:bCs/>
      <w:sz w:val="24"/>
      <w:szCs w:val="24"/>
    </w:rPr>
  </w:style>
  <w:style w:type="paragraph" w:styleId="761">
    <w:name w:val="Heading 6"/>
    <w:basedOn w:val="923"/>
    <w:next w:val="923"/>
    <w:link w:val="76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2">
    <w:name w:val="Heading 6 Char"/>
    <w:basedOn w:val="924"/>
    <w:link w:val="761"/>
    <w:uiPriority w:val="9"/>
    <w:rPr>
      <w:rFonts w:ascii="Arial" w:hAnsi="Arial" w:eastAsia="Arial" w:cs="Arial"/>
      <w:b/>
      <w:bCs/>
      <w:sz w:val="22"/>
      <w:szCs w:val="22"/>
    </w:rPr>
  </w:style>
  <w:style w:type="paragraph" w:styleId="763">
    <w:name w:val="Heading 7"/>
    <w:basedOn w:val="923"/>
    <w:next w:val="923"/>
    <w:link w:val="76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4">
    <w:name w:val="Heading 7 Char"/>
    <w:basedOn w:val="924"/>
    <w:link w:val="76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5">
    <w:name w:val="Heading 8"/>
    <w:basedOn w:val="923"/>
    <w:next w:val="923"/>
    <w:link w:val="76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6">
    <w:name w:val="Heading 8 Char"/>
    <w:basedOn w:val="924"/>
    <w:link w:val="765"/>
    <w:uiPriority w:val="9"/>
    <w:rPr>
      <w:rFonts w:ascii="Arial" w:hAnsi="Arial" w:eastAsia="Arial" w:cs="Arial"/>
      <w:i/>
      <w:iCs/>
      <w:sz w:val="22"/>
      <w:szCs w:val="22"/>
    </w:rPr>
  </w:style>
  <w:style w:type="paragraph" w:styleId="767">
    <w:name w:val="Heading 9"/>
    <w:basedOn w:val="923"/>
    <w:next w:val="923"/>
    <w:link w:val="76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8">
    <w:name w:val="Heading 9 Char"/>
    <w:basedOn w:val="924"/>
    <w:link w:val="767"/>
    <w:uiPriority w:val="9"/>
    <w:rPr>
      <w:rFonts w:ascii="Arial" w:hAnsi="Arial" w:eastAsia="Arial" w:cs="Arial"/>
      <w:i/>
      <w:iCs/>
      <w:sz w:val="21"/>
      <w:szCs w:val="21"/>
    </w:rPr>
  </w:style>
  <w:style w:type="paragraph" w:styleId="769">
    <w:name w:val="Title"/>
    <w:basedOn w:val="923"/>
    <w:next w:val="923"/>
    <w:link w:val="77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0">
    <w:name w:val="Title Char"/>
    <w:basedOn w:val="924"/>
    <w:link w:val="769"/>
    <w:uiPriority w:val="10"/>
    <w:rPr>
      <w:sz w:val="48"/>
      <w:szCs w:val="48"/>
    </w:rPr>
  </w:style>
  <w:style w:type="paragraph" w:styleId="771">
    <w:name w:val="Subtitle"/>
    <w:basedOn w:val="923"/>
    <w:next w:val="923"/>
    <w:link w:val="772"/>
    <w:uiPriority w:val="11"/>
    <w:qFormat/>
    <w:pPr>
      <w:spacing w:before="200" w:after="200"/>
    </w:pPr>
    <w:rPr>
      <w:sz w:val="24"/>
      <w:szCs w:val="24"/>
    </w:rPr>
  </w:style>
  <w:style w:type="character" w:styleId="772">
    <w:name w:val="Subtitle Char"/>
    <w:basedOn w:val="924"/>
    <w:link w:val="771"/>
    <w:uiPriority w:val="11"/>
    <w:rPr>
      <w:sz w:val="24"/>
      <w:szCs w:val="24"/>
    </w:rPr>
  </w:style>
  <w:style w:type="paragraph" w:styleId="773">
    <w:name w:val="Quote"/>
    <w:basedOn w:val="923"/>
    <w:next w:val="923"/>
    <w:link w:val="774"/>
    <w:uiPriority w:val="29"/>
    <w:qFormat/>
    <w:pPr>
      <w:ind w:left="720" w:right="720"/>
    </w:pPr>
    <w:rPr>
      <w:i/>
    </w:rPr>
  </w:style>
  <w:style w:type="character" w:styleId="774">
    <w:name w:val="Quote Char"/>
    <w:link w:val="773"/>
    <w:uiPriority w:val="29"/>
    <w:rPr>
      <w:i/>
    </w:rPr>
  </w:style>
  <w:style w:type="paragraph" w:styleId="775">
    <w:name w:val="Intense Quote"/>
    <w:basedOn w:val="923"/>
    <w:next w:val="923"/>
    <w:link w:val="77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6">
    <w:name w:val="Intense Quote Char"/>
    <w:link w:val="775"/>
    <w:uiPriority w:val="30"/>
    <w:rPr>
      <w:i/>
    </w:rPr>
  </w:style>
  <w:style w:type="character" w:styleId="777">
    <w:name w:val="Header Char"/>
    <w:basedOn w:val="924"/>
    <w:link w:val="946"/>
    <w:uiPriority w:val="99"/>
  </w:style>
  <w:style w:type="character" w:styleId="778">
    <w:name w:val="Footer Char"/>
    <w:basedOn w:val="924"/>
    <w:link w:val="947"/>
    <w:uiPriority w:val="99"/>
  </w:style>
  <w:style w:type="character" w:styleId="779">
    <w:name w:val="Caption Char"/>
    <w:basedOn w:val="938"/>
    <w:link w:val="947"/>
    <w:uiPriority w:val="99"/>
  </w:style>
  <w:style w:type="table" w:styleId="780">
    <w:name w:val="Table Grid"/>
    <w:basedOn w:val="95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Table Grid Light"/>
    <w:basedOn w:val="9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2">
    <w:name w:val="Plain Table 1"/>
    <w:basedOn w:val="9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3">
    <w:name w:val="Plain Table 2"/>
    <w:basedOn w:val="95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4">
    <w:name w:val="Plain Table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5">
    <w:name w:val="Plain Table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Plain Table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7">
    <w:name w:val="Grid Table 1 Light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4"/>
    <w:basedOn w:val="9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9">
    <w:name w:val="Grid Table 4 - Accent 1"/>
    <w:basedOn w:val="9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0">
    <w:name w:val="Grid Table 4 - Accent 2"/>
    <w:basedOn w:val="9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Grid Table 4 - Accent 3"/>
    <w:basedOn w:val="9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2">
    <w:name w:val="Grid Table 4 - Accent 4"/>
    <w:basedOn w:val="9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Grid Table 4 - Accent 5"/>
    <w:basedOn w:val="9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4">
    <w:name w:val="Grid Table 4 - Accent 6"/>
    <w:basedOn w:val="9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5">
    <w:name w:val="Grid Table 5 Dark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6">
    <w:name w:val="Grid Table 5 Dark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9">
    <w:name w:val="Grid Table 5 Dark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2">
    <w:name w:val="Grid Table 6 Colorful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3">
    <w:name w:val="Grid Table 6 Colorful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4">
    <w:name w:val="Grid Table 6 Colorful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5">
    <w:name w:val="Grid Table 6 Colorful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6">
    <w:name w:val="Grid Table 6 Colorful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7">
    <w:name w:val="Grid Table 6 Colorful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8">
    <w:name w:val="Grid Table 6 Colorful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9">
    <w:name w:val="Grid Table 7 Colorful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4">
    <w:name w:val="List Table 2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5">
    <w:name w:val="List Table 2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6">
    <w:name w:val="List Table 2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7">
    <w:name w:val="List Table 2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8">
    <w:name w:val="List Table 2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9">
    <w:name w:val="List Table 2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0">
    <w:name w:val="List Table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5 Dark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6 Colorful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2">
    <w:name w:val="List Table 6 Colorful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3">
    <w:name w:val="List Table 6 Colorful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4">
    <w:name w:val="List Table 6 Colorful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5">
    <w:name w:val="List Table 6 Colorful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6">
    <w:name w:val="List Table 6 Colorful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7">
    <w:name w:val="List Table 6 Colorful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8">
    <w:name w:val="List Table 7 Colorful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9">
    <w:name w:val="List Table 7 Colorful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0">
    <w:name w:val="List Table 7 Colorful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1">
    <w:name w:val="List Table 7 Colorful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2">
    <w:name w:val="List Table 7 Colorful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3">
    <w:name w:val="List Table 7 Colorful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4">
    <w:name w:val="List Table 7 Colorful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5">
    <w:name w:val="Lined - Accent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6">
    <w:name w:val="Lined - Accent 1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7">
    <w:name w:val="Lined - Accent 2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8">
    <w:name w:val="Lined - Accent 3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9">
    <w:name w:val="Lined - Accent 4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0">
    <w:name w:val="Lined - Accent 5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1">
    <w:name w:val="Lined - Accent 6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2">
    <w:name w:val="Bordered &amp; Lined - Accent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3">
    <w:name w:val="Bordered &amp; Lined - Accent 1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4">
    <w:name w:val="Bordered &amp; Lined - Accent 2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5">
    <w:name w:val="Bordered &amp; Lined - Accent 3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6">
    <w:name w:val="Bordered &amp; Lined - Accent 4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7">
    <w:name w:val="Bordered &amp; Lined - Accent 5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8">
    <w:name w:val="Bordered &amp; Lined - Accent 6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9">
    <w:name w:val="Bordered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0">
    <w:name w:val="Bordered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1">
    <w:name w:val="Bordered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2">
    <w:name w:val="Bordered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3">
    <w:name w:val="Bordered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4">
    <w:name w:val="Bordered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5">
    <w:name w:val="Bordered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06">
    <w:name w:val="footnote text"/>
    <w:basedOn w:val="923"/>
    <w:link w:val="907"/>
    <w:uiPriority w:val="99"/>
    <w:semiHidden/>
    <w:unhideWhenUsed/>
    <w:pPr>
      <w:spacing w:after="40" w:line="240" w:lineRule="auto"/>
    </w:pPr>
    <w:rPr>
      <w:sz w:val="18"/>
    </w:rPr>
  </w:style>
  <w:style w:type="character" w:styleId="907">
    <w:name w:val="Footnote Text Char"/>
    <w:link w:val="906"/>
    <w:uiPriority w:val="99"/>
    <w:rPr>
      <w:sz w:val="18"/>
    </w:rPr>
  </w:style>
  <w:style w:type="character" w:styleId="908">
    <w:name w:val="footnote reference"/>
    <w:basedOn w:val="924"/>
    <w:uiPriority w:val="99"/>
    <w:unhideWhenUsed/>
    <w:rPr>
      <w:vertAlign w:val="superscript"/>
    </w:rPr>
  </w:style>
  <w:style w:type="paragraph" w:styleId="909">
    <w:name w:val="endnote text"/>
    <w:basedOn w:val="923"/>
    <w:link w:val="910"/>
    <w:uiPriority w:val="99"/>
    <w:semiHidden/>
    <w:unhideWhenUsed/>
    <w:pPr>
      <w:spacing w:after="0" w:line="240" w:lineRule="auto"/>
    </w:pPr>
    <w:rPr>
      <w:sz w:val="20"/>
    </w:rPr>
  </w:style>
  <w:style w:type="character" w:styleId="910">
    <w:name w:val="Endnote Text Char"/>
    <w:link w:val="909"/>
    <w:uiPriority w:val="99"/>
    <w:rPr>
      <w:sz w:val="20"/>
    </w:rPr>
  </w:style>
  <w:style w:type="character" w:styleId="911">
    <w:name w:val="endnote reference"/>
    <w:basedOn w:val="924"/>
    <w:uiPriority w:val="99"/>
    <w:semiHidden/>
    <w:unhideWhenUsed/>
    <w:rPr>
      <w:vertAlign w:val="superscript"/>
    </w:rPr>
  </w:style>
  <w:style w:type="paragraph" w:styleId="912">
    <w:name w:val="toc 1"/>
    <w:basedOn w:val="923"/>
    <w:next w:val="923"/>
    <w:uiPriority w:val="39"/>
    <w:unhideWhenUsed/>
    <w:pPr>
      <w:ind w:left="0" w:right="0" w:firstLine="0"/>
      <w:spacing w:after="57"/>
    </w:pPr>
  </w:style>
  <w:style w:type="paragraph" w:styleId="913">
    <w:name w:val="toc 2"/>
    <w:basedOn w:val="923"/>
    <w:next w:val="923"/>
    <w:uiPriority w:val="39"/>
    <w:unhideWhenUsed/>
    <w:pPr>
      <w:ind w:left="283" w:right="0" w:firstLine="0"/>
      <w:spacing w:after="57"/>
    </w:pPr>
  </w:style>
  <w:style w:type="paragraph" w:styleId="914">
    <w:name w:val="toc 3"/>
    <w:basedOn w:val="923"/>
    <w:next w:val="923"/>
    <w:uiPriority w:val="39"/>
    <w:unhideWhenUsed/>
    <w:pPr>
      <w:ind w:left="567" w:right="0" w:firstLine="0"/>
      <w:spacing w:after="57"/>
    </w:pPr>
  </w:style>
  <w:style w:type="paragraph" w:styleId="915">
    <w:name w:val="toc 4"/>
    <w:basedOn w:val="923"/>
    <w:next w:val="923"/>
    <w:uiPriority w:val="39"/>
    <w:unhideWhenUsed/>
    <w:pPr>
      <w:ind w:left="850" w:right="0" w:firstLine="0"/>
      <w:spacing w:after="57"/>
    </w:pPr>
  </w:style>
  <w:style w:type="paragraph" w:styleId="916">
    <w:name w:val="toc 5"/>
    <w:basedOn w:val="923"/>
    <w:next w:val="923"/>
    <w:uiPriority w:val="39"/>
    <w:unhideWhenUsed/>
    <w:pPr>
      <w:ind w:left="1134" w:right="0" w:firstLine="0"/>
      <w:spacing w:after="57"/>
    </w:pPr>
  </w:style>
  <w:style w:type="paragraph" w:styleId="917">
    <w:name w:val="toc 6"/>
    <w:basedOn w:val="923"/>
    <w:next w:val="923"/>
    <w:uiPriority w:val="39"/>
    <w:unhideWhenUsed/>
    <w:pPr>
      <w:ind w:left="1417" w:right="0" w:firstLine="0"/>
      <w:spacing w:after="57"/>
    </w:pPr>
  </w:style>
  <w:style w:type="paragraph" w:styleId="918">
    <w:name w:val="toc 7"/>
    <w:basedOn w:val="923"/>
    <w:next w:val="923"/>
    <w:uiPriority w:val="39"/>
    <w:unhideWhenUsed/>
    <w:pPr>
      <w:ind w:left="1701" w:right="0" w:firstLine="0"/>
      <w:spacing w:after="57"/>
    </w:pPr>
  </w:style>
  <w:style w:type="paragraph" w:styleId="919">
    <w:name w:val="toc 8"/>
    <w:basedOn w:val="923"/>
    <w:next w:val="923"/>
    <w:uiPriority w:val="39"/>
    <w:unhideWhenUsed/>
    <w:pPr>
      <w:ind w:left="1984" w:right="0" w:firstLine="0"/>
      <w:spacing w:after="57"/>
    </w:pPr>
  </w:style>
  <w:style w:type="paragraph" w:styleId="920">
    <w:name w:val="toc 9"/>
    <w:basedOn w:val="923"/>
    <w:next w:val="923"/>
    <w:uiPriority w:val="39"/>
    <w:unhideWhenUsed/>
    <w:pPr>
      <w:ind w:left="2268" w:right="0" w:firstLine="0"/>
      <w:spacing w:after="57"/>
    </w:pPr>
  </w:style>
  <w:style w:type="paragraph" w:styleId="921">
    <w:name w:val="TOC Heading"/>
    <w:uiPriority w:val="39"/>
    <w:unhideWhenUsed/>
  </w:style>
  <w:style w:type="paragraph" w:styleId="922">
    <w:name w:val="table of figures"/>
    <w:basedOn w:val="923"/>
    <w:next w:val="923"/>
    <w:uiPriority w:val="99"/>
    <w:unhideWhenUsed/>
    <w:pPr>
      <w:spacing w:after="0" w:afterAutospacing="0"/>
    </w:pPr>
  </w:style>
  <w:style w:type="paragraph" w:styleId="923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styleId="924" w:default="1">
    <w:name w:val="Default Paragraph Font"/>
    <w:uiPriority w:val="1"/>
    <w:semiHidden/>
    <w:unhideWhenUsed/>
    <w:qFormat/>
  </w:style>
  <w:style w:type="character" w:styleId="925" w:customStyle="1">
    <w:name w:val="apple-converted-space"/>
    <w:basedOn w:val="924"/>
    <w:qFormat/>
  </w:style>
  <w:style w:type="character" w:styleId="926">
    <w:name w:val="Emphasis"/>
    <w:basedOn w:val="924"/>
    <w:uiPriority w:val="20"/>
    <w:qFormat/>
    <w:rPr>
      <w:i/>
      <w:iCs/>
    </w:rPr>
  </w:style>
  <w:style w:type="character" w:styleId="927">
    <w:name w:val="Hyperlink"/>
    <w:basedOn w:val="924"/>
    <w:uiPriority w:val="99"/>
    <w:rPr>
      <w:color w:val="0000ff"/>
      <w:u w:val="single"/>
    </w:rPr>
  </w:style>
  <w:style w:type="character" w:styleId="928">
    <w:name w:val="Strong"/>
    <w:basedOn w:val="924"/>
    <w:uiPriority w:val="22"/>
    <w:qFormat/>
    <w:rPr>
      <w:rFonts w:cs="Times New Roman"/>
      <w:b/>
      <w:bCs/>
    </w:rPr>
  </w:style>
  <w:style w:type="character" w:styleId="929" w:customStyle="1">
    <w:name w:val="Текст выноски Знак"/>
    <w:basedOn w:val="924"/>
    <w:link w:val="942"/>
    <w:uiPriority w:val="99"/>
    <w:semiHidden/>
    <w:qFormat/>
    <w:rPr>
      <w:rFonts w:ascii="Tahoma" w:hAnsi="Tahoma" w:cs="Tahoma"/>
      <w:sz w:val="16"/>
      <w:szCs w:val="16"/>
    </w:rPr>
  </w:style>
  <w:style w:type="character" w:styleId="930" w:customStyle="1">
    <w:name w:val="Верхний колонтитул Знак"/>
    <w:basedOn w:val="924"/>
    <w:uiPriority w:val="99"/>
    <w:qFormat/>
  </w:style>
  <w:style w:type="character" w:styleId="931" w:customStyle="1">
    <w:name w:val="Нижний колонтитул Знак"/>
    <w:basedOn w:val="924"/>
    <w:uiPriority w:val="99"/>
    <w:qFormat/>
  </w:style>
  <w:style w:type="character" w:styleId="932">
    <w:name w:val="annotation reference"/>
    <w:uiPriority w:val="99"/>
    <w:semiHidden/>
    <w:unhideWhenUsed/>
    <w:qFormat/>
    <w:rPr>
      <w:sz w:val="16"/>
      <w:szCs w:val="16"/>
    </w:rPr>
  </w:style>
  <w:style w:type="character" w:styleId="933" w:customStyle="1">
    <w:name w:val="Текст примечания Знак"/>
    <w:basedOn w:val="924"/>
    <w:link w:val="948"/>
    <w:uiPriority w:val="99"/>
    <w:semiHidden/>
    <w:qFormat/>
    <w:rPr>
      <w:rFonts w:ascii="Times New Roman" w:hAnsi="Times New Roman" w:eastAsia="SimSun" w:cs="Times New Roman"/>
      <w:sz w:val="20"/>
      <w:szCs w:val="20"/>
    </w:rPr>
  </w:style>
  <w:style w:type="character" w:styleId="934" w:customStyle="1">
    <w:name w:val="field-content"/>
    <w:basedOn w:val="924"/>
    <w:qFormat/>
  </w:style>
  <w:style w:type="paragraph" w:styleId="935">
    <w:name w:val="Заголовок"/>
    <w:basedOn w:val="923"/>
    <w:next w:val="936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936">
    <w:name w:val="Body Text"/>
    <w:basedOn w:val="923"/>
    <w:pPr>
      <w:spacing w:before="0" w:after="140" w:line="276" w:lineRule="auto"/>
    </w:pPr>
  </w:style>
  <w:style w:type="paragraph" w:styleId="937">
    <w:name w:val="List"/>
    <w:basedOn w:val="936"/>
    <w:rPr>
      <w:rFonts w:ascii="PT Astra Serif" w:hAnsi="PT Astra Serif" w:cs="Noto Sans Devanagari"/>
    </w:rPr>
  </w:style>
  <w:style w:type="paragraph" w:styleId="938">
    <w:name w:val="Caption"/>
    <w:basedOn w:val="923"/>
    <w:link w:val="779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939">
    <w:name w:val="Указатель"/>
    <w:basedOn w:val="923"/>
    <w:qFormat/>
    <w:pPr>
      <w:suppressLineNumbers/>
    </w:pPr>
    <w:rPr>
      <w:rFonts w:ascii="PT Astra Serif" w:hAnsi="PT Astra Serif" w:cs="Noto Sans Devanagari"/>
    </w:rPr>
  </w:style>
  <w:style w:type="paragraph" w:styleId="940">
    <w:name w:val="Normal (Web)"/>
    <w:basedOn w:val="923"/>
    <w:uiPriority w:val="99"/>
    <w:qFormat/>
    <w:rPr>
      <w:rFonts w:ascii="Times New Roman" w:hAnsi="Times New Roman" w:eastAsia="Times New Roman" w:cs="Times New Roman"/>
      <w:sz w:val="24"/>
      <w:szCs w:val="24"/>
    </w:rPr>
  </w:style>
  <w:style w:type="paragraph" w:styleId="941" w:customStyle="1">
    <w:name w:val="Default"/>
    <w:basedOn w:val="923"/>
    <w:qFormat/>
    <w:pPr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942">
    <w:name w:val="Balloon Text"/>
    <w:basedOn w:val="923"/>
    <w:link w:val="929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943">
    <w:name w:val="List Paragraph"/>
    <w:basedOn w:val="923"/>
    <w:uiPriority w:val="34"/>
    <w:qFormat/>
    <w:pPr>
      <w:contextualSpacing/>
      <w:ind w:left="720"/>
      <w:spacing w:before="0"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4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SimSun" w:cs="Times New Roman"/>
      <w:color w:val="auto"/>
      <w:sz w:val="24"/>
      <w:szCs w:val="24"/>
      <w:lang w:val="ru-RU" w:eastAsia="ru-RU" w:bidi="ar-SA"/>
    </w:rPr>
  </w:style>
  <w:style w:type="paragraph" w:styleId="945">
    <w:name w:val="Колонтитул"/>
    <w:basedOn w:val="923"/>
    <w:qFormat/>
  </w:style>
  <w:style w:type="paragraph" w:styleId="946">
    <w:name w:val="Header"/>
    <w:basedOn w:val="923"/>
    <w:link w:val="930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947">
    <w:name w:val="Footer"/>
    <w:basedOn w:val="923"/>
    <w:link w:val="931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948">
    <w:name w:val="annotation text"/>
    <w:basedOn w:val="923"/>
    <w:link w:val="933"/>
    <w:uiPriority w:val="99"/>
    <w:semiHidden/>
    <w:unhideWhenUsed/>
    <w:qFormat/>
    <w:pPr>
      <w:spacing w:before="0" w:after="0" w:line="240" w:lineRule="auto"/>
    </w:pPr>
    <w:rPr>
      <w:rFonts w:ascii="Times New Roman" w:hAnsi="Times New Roman" w:eastAsia="SimSun" w:cs="Times New Roman"/>
      <w:sz w:val="20"/>
      <w:szCs w:val="20"/>
    </w:rPr>
  </w:style>
  <w:style w:type="paragraph" w:styleId="949">
    <w:name w:val="Содержимое врезки"/>
    <w:basedOn w:val="923"/>
    <w:qFormat/>
  </w:style>
  <w:style w:type="numbering" w:styleId="950" w:default="1">
    <w:name w:val="No List"/>
    <w:uiPriority w:val="99"/>
    <w:semiHidden/>
    <w:unhideWhenUsed/>
    <w:qFormat/>
  </w:style>
  <w:style w:type="table" w:styleId="951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952" w:customStyle="1">
    <w:name w:val="Содержимое таблицы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60" w:afterAutospacing="0" w:line="259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53" w:customStyle="1">
    <w:name w:val="Содержимое таблицы (user)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60" w:afterAutospacing="0" w:line="259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http://www.saratovenergo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DC0F9-7521-4971-BC27-0C0B64D44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Ламекина Ирина Михайловна</dc:creator>
  <dc:description/>
  <dc:language>ru-RU</dc:language>
  <cp:lastModifiedBy>zimin_aa</cp:lastModifiedBy>
  <cp:revision>27</cp:revision>
  <dcterms:created xsi:type="dcterms:W3CDTF">2024-07-08T12:36:00Z</dcterms:created>
  <dcterms:modified xsi:type="dcterms:W3CDTF">2026-07-27T09:12:11Z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