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F81" w:rsidRDefault="00267F81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jc w:val="left"/>
        <w:rPr>
          <w:rFonts w:ascii="Liberation Serif" w:hAnsi="Liberation Serif" w:cs="Liberation Serif"/>
          <w:color w:val="000000"/>
        </w:rPr>
      </w:pPr>
    </w:p>
    <w:p w:rsidR="00267F81" w:rsidRDefault="00267F81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rPr>
          <w:rFonts w:ascii="Liberation Serif" w:hAnsi="Liberation Serif" w:cs="Liberation Serif"/>
          <w:i/>
          <w:color w:val="000000"/>
          <w:sz w:val="28"/>
          <w:szCs w:val="28"/>
        </w:rPr>
      </w:pPr>
    </w:p>
    <w:p w:rsidR="00267F81" w:rsidRDefault="00592239">
      <w:pPr>
        <w:pStyle w:val="1"/>
        <w:tabs>
          <w:tab w:val="left" w:pos="993"/>
          <w:tab w:val="left" w:pos="1134"/>
          <w:tab w:val="left" w:pos="1701"/>
          <w:tab w:val="left" w:pos="4395"/>
        </w:tabs>
        <w:spacing w:before="0" w:after="0"/>
        <w:ind w:firstLine="540"/>
        <w:rPr>
          <w:rFonts w:ascii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Публичное акционерное общество «Саратовэнерго»</w:t>
      </w:r>
    </w:p>
    <w:p w:rsidR="00267F81" w:rsidRDefault="00267F81">
      <w:pPr>
        <w:ind w:firstLine="709"/>
        <w:rPr>
          <w:rFonts w:ascii="Liberation Serif" w:hAnsi="Liberation Serif" w:cs="Liberation Serif"/>
        </w:rPr>
      </w:pPr>
    </w:p>
    <w:p w:rsidR="00267F81" w:rsidRDefault="00592239">
      <w:pPr>
        <w:pStyle w:val="1"/>
        <w:spacing w:before="0" w:after="0"/>
        <w:ind w:firstLine="709"/>
        <w:jc w:val="both"/>
        <w:rPr>
          <w:rFonts w:ascii="Liberation Serif" w:hAnsi="Liberation Serif" w:cs="Liberation Serif"/>
          <w:b w:val="0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 w:val="0"/>
          <w:color w:val="000000"/>
          <w:sz w:val="24"/>
          <w:szCs w:val="24"/>
        </w:rPr>
        <w:t>В соответствии с требованиями Стандартов раскрытия информации субъектами оптового и розничных рынков электрической энергии, утвержденных Постановлением Правительства РФ от 21 января 2004 г. №24</w:t>
      </w:r>
      <w:r>
        <w:rPr>
          <w:rFonts w:ascii="Liberation Serif" w:eastAsia="Liberation Serif" w:hAnsi="Liberation Serif" w:cs="Liberation Serif"/>
          <w:b w:val="0"/>
          <w:color w:val="000000"/>
          <w:sz w:val="24"/>
          <w:szCs w:val="24"/>
        </w:rPr>
        <w:t xml:space="preserve"> «Об утверждении стандартов раскрытия информации субъектами оптового и розничных рынков электрической энергии» (с изменениями), как субъект рынка электрической энергии - энергосбытовая организация и гарантирующий поставщик раскрывает  следующую информацию:</w:t>
      </w:r>
    </w:p>
    <w:p w:rsidR="00267F81" w:rsidRDefault="00267F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267F81" w:rsidRDefault="00592239">
      <w:pPr>
        <w:pStyle w:val="1"/>
        <w:spacing w:before="0" w:after="0"/>
        <w:ind w:firstLine="709"/>
        <w:rPr>
          <w:rFonts w:ascii="Liberation Serif" w:hAnsi="Liberation Serif" w:cs="Liberation Serif"/>
          <w:i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</w:rPr>
        <w:t>Годовая финансовая (бухгалтерская) отчетность, а также аудиторское заключение.</w:t>
      </w:r>
    </w:p>
    <w:p w:rsidR="00267F81" w:rsidRDefault="00592239">
      <w:pPr>
        <w:pStyle w:val="1"/>
        <w:spacing w:before="0" w:after="0"/>
        <w:ind w:firstLine="709"/>
        <w:jc w:val="both"/>
        <w:rPr>
          <w:rFonts w:ascii="Liberation Serif" w:hAnsi="Liberation Serif" w:cs="Liberation Serif"/>
          <w:color w:val="0070C0"/>
          <w:sz w:val="24"/>
          <w:szCs w:val="24"/>
        </w:rPr>
      </w:pPr>
      <w:r>
        <w:rPr>
          <w:rFonts w:ascii="Liberation Serif" w:eastAsia="Liberation Serif" w:hAnsi="Liberation Serif" w:cs="Liberation Serif"/>
          <w:b w:val="0"/>
          <w:color w:val="000000"/>
          <w:sz w:val="24"/>
          <w:szCs w:val="24"/>
        </w:rPr>
        <w:t xml:space="preserve">Указанная информация представлена на сайте Государственного информационного ресурса бухгалтерской (финансовой) отчетности  в информационно-коммуникационной сети «Интернет» по </w:t>
      </w:r>
      <w:r>
        <w:rPr>
          <w:rFonts w:ascii="Liberation Serif" w:eastAsia="Liberation Serif" w:hAnsi="Liberation Serif" w:cs="Liberation Serif"/>
          <w:b w:val="0"/>
          <w:color w:val="000000"/>
          <w:sz w:val="24"/>
          <w:szCs w:val="24"/>
        </w:rPr>
        <w:t xml:space="preserve">адресу: </w:t>
      </w:r>
      <w:hyperlink r:id="rId7" w:tooltip="https://bo.nalog.ru/organizations-card/6273330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</w:rPr>
          <w:t>https://bo.nalog.ru/organizations-card/6273330</w:t>
        </w:r>
      </w:hyperlink>
      <w:r>
        <w:rPr>
          <w:rFonts w:ascii="Liberation Serif" w:eastAsia="Liberation Serif" w:hAnsi="Liberation Serif" w:cs="Liberation Serif"/>
          <w:b w:val="0"/>
          <w:color w:val="000000"/>
          <w:sz w:val="24"/>
          <w:szCs w:val="24"/>
        </w:rPr>
        <w:t>.</w:t>
      </w:r>
    </w:p>
    <w:p w:rsidR="00267F81" w:rsidRDefault="00267F81">
      <w:pPr>
        <w:rPr>
          <w:rFonts w:ascii="Liberation Serif" w:hAnsi="Liberation Serif" w:cs="Liberation Serif"/>
          <w:color w:val="0070C0"/>
        </w:rPr>
      </w:pPr>
    </w:p>
    <w:p w:rsidR="00267F81" w:rsidRDefault="00592239">
      <w:pPr>
        <w:ind w:firstLine="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i/>
          <w:sz w:val="24"/>
          <w:szCs w:val="24"/>
        </w:rPr>
        <w:t>Структура и объем затрат на производство и реализацию товаров (работ, услуг) за 2025</w:t>
      </w:r>
      <w:r>
        <w:rPr>
          <w:rFonts w:ascii="Liberation Serif" w:eastAsia="Liberation Serif" w:hAnsi="Liberation Serif" w:cs="Liberation Serif"/>
          <w:b/>
          <w:i/>
          <w:sz w:val="24"/>
          <w:szCs w:val="24"/>
        </w:rPr>
        <w:t xml:space="preserve"> год</w:t>
      </w:r>
    </w:p>
    <w:p w:rsidR="00267F81" w:rsidRDefault="00267F81">
      <w:pPr>
        <w:ind w:firstLine="54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0296" w:type="dxa"/>
        <w:jc w:val="center"/>
        <w:tblLook w:val="00A0" w:firstRow="1" w:lastRow="0" w:firstColumn="1" w:lastColumn="0" w:noHBand="0" w:noVBand="0"/>
      </w:tblPr>
      <w:tblGrid>
        <w:gridCol w:w="6716"/>
        <w:gridCol w:w="1960"/>
        <w:gridCol w:w="1620"/>
      </w:tblGrid>
      <w:tr w:rsidR="00267F81">
        <w:trPr>
          <w:trHeight w:val="315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spacing w:line="276" w:lineRule="auto"/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Затраты</w:t>
            </w:r>
          </w:p>
        </w:tc>
        <w:tc>
          <w:tcPr>
            <w:tcW w:w="196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spacing w:line="276" w:lineRule="auto"/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Сумма, </w:t>
            </w:r>
          </w:p>
          <w:p w:rsidR="00267F81" w:rsidRDefault="00592239">
            <w:pPr>
              <w:spacing w:line="276" w:lineRule="auto"/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тыс.</w:t>
            </w: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62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spacing w:line="276" w:lineRule="auto"/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Уд. вес,</w:t>
            </w:r>
          </w:p>
          <w:p w:rsidR="00267F81" w:rsidRDefault="00592239">
            <w:pPr>
              <w:spacing w:line="276" w:lineRule="auto"/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%</w:t>
            </w:r>
          </w:p>
        </w:tc>
      </w:tr>
      <w:tr w:rsidR="00267F81">
        <w:trPr>
          <w:trHeight w:val="20"/>
          <w:jc w:val="center"/>
        </w:trPr>
        <w:tc>
          <w:tcPr>
            <w:tcW w:w="671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en-US"/>
              </w:rPr>
              <w:t>Покупная электрическая энергия</w:t>
            </w:r>
          </w:p>
        </w:tc>
        <w:tc>
          <w:tcPr>
            <w:tcW w:w="19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16 659 005</w:t>
            </w:r>
          </w:p>
        </w:tc>
        <w:tc>
          <w:tcPr>
            <w:tcW w:w="16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55,7%</w:t>
            </w:r>
          </w:p>
        </w:tc>
      </w:tr>
      <w:tr w:rsidR="00267F81">
        <w:trPr>
          <w:trHeight w:val="20"/>
          <w:jc w:val="center"/>
        </w:trPr>
        <w:tc>
          <w:tcPr>
            <w:tcW w:w="671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en-US"/>
              </w:rPr>
              <w:t>Услуги сетевых компаний по передаче электрической энергии</w:t>
            </w:r>
          </w:p>
        </w:tc>
        <w:tc>
          <w:tcPr>
            <w:tcW w:w="19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11 491 754</w:t>
            </w:r>
          </w:p>
        </w:tc>
        <w:tc>
          <w:tcPr>
            <w:tcW w:w="16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38,4%</w:t>
            </w:r>
          </w:p>
        </w:tc>
      </w:tr>
      <w:tr w:rsidR="00267F81">
        <w:trPr>
          <w:trHeight w:val="20"/>
          <w:jc w:val="center"/>
        </w:trPr>
        <w:tc>
          <w:tcPr>
            <w:tcW w:w="671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en-US"/>
              </w:rPr>
              <w:t>Услуги инфраструктурных организаций</w:t>
            </w:r>
          </w:p>
        </w:tc>
        <w:tc>
          <w:tcPr>
            <w:tcW w:w="19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34 523</w:t>
            </w:r>
          </w:p>
        </w:tc>
        <w:tc>
          <w:tcPr>
            <w:tcW w:w="16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0,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%</w:t>
            </w:r>
          </w:p>
        </w:tc>
      </w:tr>
      <w:tr w:rsidR="00267F81">
        <w:trPr>
          <w:trHeight w:val="20"/>
          <w:jc w:val="center"/>
        </w:trPr>
        <w:tc>
          <w:tcPr>
            <w:tcW w:w="671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en-US"/>
              </w:rPr>
              <w:t>Прочие затраты</w:t>
            </w:r>
          </w:p>
        </w:tc>
        <w:tc>
          <w:tcPr>
            <w:tcW w:w="19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1 741 101</w:t>
            </w:r>
          </w:p>
        </w:tc>
        <w:tc>
          <w:tcPr>
            <w:tcW w:w="16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5,8%</w:t>
            </w:r>
          </w:p>
        </w:tc>
      </w:tr>
      <w:tr w:rsidR="00267F81">
        <w:trPr>
          <w:trHeight w:val="20"/>
          <w:jc w:val="center"/>
        </w:trPr>
        <w:tc>
          <w:tcPr>
            <w:tcW w:w="671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267F81" w:rsidRDefault="00592239">
            <w:pPr>
              <w:spacing w:line="276" w:lineRule="auto"/>
              <w:ind w:firstLine="0"/>
              <w:jc w:val="left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6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lang w:val="en-US"/>
              </w:rPr>
              <w:t>9 926 383</w:t>
            </w:r>
          </w:p>
        </w:tc>
        <w:tc>
          <w:tcPr>
            <w:tcW w:w="16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</w:rPr>
              <w:t>100,00%</w:t>
            </w:r>
          </w:p>
        </w:tc>
      </w:tr>
    </w:tbl>
    <w:p w:rsidR="00267F81" w:rsidRDefault="00267F81">
      <w:pPr>
        <w:ind w:firstLine="540"/>
        <w:jc w:val="center"/>
        <w:rPr>
          <w:rFonts w:ascii="Liberation Serif" w:hAnsi="Liberation Serif" w:cs="Liberation Serif"/>
          <w:b/>
          <w:i/>
          <w:sz w:val="24"/>
          <w:szCs w:val="24"/>
          <w:highlight w:val="white"/>
        </w:rPr>
      </w:pPr>
    </w:p>
    <w:p w:rsidR="00267F81" w:rsidRDefault="00592239">
      <w:pPr>
        <w:widowControl/>
        <w:ind w:firstLine="709"/>
        <w:jc w:val="center"/>
        <w:rPr>
          <w:rFonts w:ascii="Liberation Serif" w:hAnsi="Liberation Serif" w:cs="Liberation Serif"/>
          <w:b/>
          <w:bCs/>
          <w:i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sz w:val="24"/>
          <w:szCs w:val="24"/>
        </w:rPr>
        <w:t>Метод доходности инвестированного капитала</w:t>
      </w:r>
    </w:p>
    <w:p w:rsidR="00267F81" w:rsidRDefault="00592239">
      <w:pPr>
        <w:widowControl/>
        <w:ind w:firstLine="709"/>
        <w:jc w:val="center"/>
        <w:rPr>
          <w:rFonts w:ascii="Liberation Serif" w:hAnsi="Liberation Serif" w:cs="Liberation Serif"/>
          <w:b/>
          <w:bCs/>
          <w:i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sz w:val="24"/>
          <w:szCs w:val="24"/>
        </w:rPr>
        <w:t>при государственном регулировании тарифов в отношении субъектов рынков электрической энергии.</w:t>
      </w:r>
    </w:p>
    <w:p w:rsidR="00267F81" w:rsidRDefault="00592239">
      <w:pPr>
        <w:widowControl/>
        <w:ind w:firstLine="709"/>
        <w:jc w:val="lef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>Не применимо.</w:t>
      </w:r>
    </w:p>
    <w:p w:rsidR="00267F81" w:rsidRDefault="00267F81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267F81" w:rsidRDefault="00267F81">
      <w:pPr>
        <w:ind w:firstLine="709"/>
        <w:rPr>
          <w:rFonts w:ascii="Liberation Serif" w:hAnsi="Liberation Serif" w:cs="Liberation Serif"/>
        </w:rPr>
      </w:pPr>
    </w:p>
    <w:p w:rsidR="00267F81" w:rsidRDefault="00592239">
      <w:pPr>
        <w:ind w:firstLine="540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i/>
          <w:sz w:val="24"/>
          <w:szCs w:val="24"/>
        </w:rPr>
        <w:t>Цена на электрическую энергию, дифференцированную в зависимости от условий, определенных законодательством Российской Федерации. При этом отдельно раскрывается цена закупки электрической энергии, стоимость услуг по ее передаче, а также стоимость иных услуг</w:t>
      </w:r>
      <w:r>
        <w:rPr>
          <w:rFonts w:ascii="Liberation Serif" w:eastAsia="Liberation Serif" w:hAnsi="Liberation Serif" w:cs="Liberation Serif"/>
          <w:b/>
          <w:i/>
          <w:sz w:val="24"/>
          <w:szCs w:val="24"/>
        </w:rPr>
        <w:t>, оказание которых является неотъемлемой частью поставки электрической энергии потребителю.</w:t>
      </w: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соответствии со ст. 40 Федерального закона от 26.03.2003 N 35-ФЗ (ред. от 23.03.2026) «Об электроэнергетике» на территориях, объединенных в ценовые зоны оптового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рынка, гарантирующие поставщики осуществляют продажу электрической энергии (мощности) (за исключением объема электрической энергии (мощности), поставляемого населению и приравненным к нему категориям потребителей) на розничных рынках по нерегулируемым цена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м  не выше предельных уровней нерегулируемых цен, рассчитанных в соответствии с основными положениями функционирования розничных рынков исходя из цен на приобретаемые гарантирующими поставщиками электрическую энергию и мощность на оптовом рынке, сбытовой н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адбавки гарантирующего поставщика и цен на услуги, оказание которых неразрывно связано с процессом снабжения потребителей электрической энергией. Информация о предельных уровнях нерегулируемых цен размещена на официальном сайте Общества по адресу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hyperlink r:id="rId8" w:tooltip="https://www.saratovenergo.ru/yuridicheskim-litsam/raschet-stoimosti-elektroenergii/predelnye-urovni-svobodnykh-nereguliruemykh-tsen/arkhiv-za-2025-god/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  <w:highlight w:val="white"/>
          </w:rPr>
          <w:t>https://www.saratovenergo.ru/yuridicheskim-litsam/raschet-stoimosti-elektroenergii/predelnye-urovni-svobodnykh-nereguliruemykh-tsen/arkhiv-za-2025-god/</w:t>
        </w:r>
      </w:hyperlink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.</w:t>
      </w:r>
    </w:p>
    <w:p w:rsidR="00267F81" w:rsidRDefault="00267F81">
      <w:pPr>
        <w:ind w:firstLine="540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Тарифы на электрическую энергию для населения на 2025 год утверждены Постановлениями КГРТ Саратовской области от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29 ноября 2024 года № 87, от 28 февраля 2025 года № 17: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095"/>
        <w:gridCol w:w="2095"/>
        <w:gridCol w:w="2095"/>
        <w:gridCol w:w="2095"/>
        <w:gridCol w:w="2095"/>
        <w:gridCol w:w="2095"/>
      </w:tblGrid>
      <w:tr w:rsidR="00267F81">
        <w:trPr>
          <w:trHeight w:val="36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Категории потребителей</w:t>
            </w:r>
          </w:p>
        </w:tc>
        <w:tc>
          <w:tcPr>
            <w:tcW w:w="12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Цена (тариф), руб./кВт*ч (с учетом НДС) </w:t>
            </w:r>
          </w:p>
        </w:tc>
      </w:tr>
      <w:tr w:rsidR="00267F81">
        <w:trPr>
          <w:trHeight w:val="3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267F81"/>
        </w:tc>
        <w:tc>
          <w:tcPr>
            <w:tcW w:w="6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F81" w:rsidRDefault="00592239">
            <w:pPr>
              <w:widowControl/>
              <w:ind w:firstLine="540"/>
              <w:jc w:val="center"/>
              <w:rPr>
                <w:rFonts w:ascii="Liberation Serif" w:hAnsi="Liberation Serif" w:cs="Liberation Serif"/>
                <w:b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с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01 января 2025 года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по 30 июня 2025 года</w:t>
            </w:r>
          </w:p>
        </w:tc>
        <w:tc>
          <w:tcPr>
            <w:tcW w:w="6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54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01 июля 2025 года </w:t>
            </w:r>
            <w:r>
              <w:rPr>
                <w:rFonts w:ascii="Liberation Serif" w:eastAsia="Liberation Serif" w:hAnsi="Liberation Serif" w:cs="Liberation Serif"/>
              </w:rPr>
              <w:t>по 31 декабря 2025 года</w:t>
            </w:r>
          </w:p>
        </w:tc>
      </w:tr>
      <w:tr w:rsidR="00267F81">
        <w:trPr>
          <w:trHeight w:val="34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267F81"/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диапазон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 диапазон</w:t>
            </w:r>
          </w:p>
        </w:tc>
      </w:tr>
      <w:tr w:rsidR="00267F81">
        <w:trPr>
          <w:trHeight w:val="6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4,75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4,76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8,70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5,34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8,00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11,31</w:t>
            </w:r>
          </w:p>
        </w:tc>
      </w:tr>
      <w:tr w:rsidR="00267F81">
        <w:trPr>
          <w:trHeight w:val="98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(или) электроотопительными установками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6,09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3,74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5,60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7,92</w:t>
            </w:r>
          </w:p>
        </w:tc>
      </w:tr>
      <w:tr w:rsidR="00267F81">
        <w:trPr>
          <w:trHeight w:val="6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6,09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3,74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5,60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7,92</w:t>
            </w:r>
          </w:p>
        </w:tc>
      </w:tr>
      <w:tr w:rsidR="00267F81">
        <w:trPr>
          <w:trHeight w:val="8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4,75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4,76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8,70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5,34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8,00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11,31</w:t>
            </w:r>
          </w:p>
        </w:tc>
      </w:tr>
    </w:tbl>
    <w:p w:rsidR="00267F81" w:rsidRDefault="00267F81">
      <w:pPr>
        <w:ind w:firstLine="540"/>
        <w:rPr>
          <w:rFonts w:ascii="Liberation Serif" w:hAnsi="Liberation Serif" w:cs="Liberation Serif"/>
        </w:rPr>
      </w:pPr>
    </w:p>
    <w:p w:rsidR="00267F81" w:rsidRDefault="00592239">
      <w:pPr>
        <w:ind w:firstLine="0"/>
        <w:jc w:val="center"/>
        <w:rPr>
          <w:rFonts w:ascii="Liberation Serif" w:hAnsi="Liberation Serif" w:cs="Liberation Serif"/>
          <w:b/>
          <w:bCs/>
          <w:i/>
          <w:i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iCs/>
          <w:sz w:val="24"/>
          <w:szCs w:val="24"/>
        </w:rPr>
        <w:t xml:space="preserve">Диапазоны объемов потребления электрической энергии (мощности) для населения и приравненных к нему категорий потребителей </w:t>
      </w:r>
    </w:p>
    <w:p w:rsidR="00267F81" w:rsidRDefault="00592239">
      <w:pPr>
        <w:ind w:firstLine="0"/>
        <w:jc w:val="center"/>
        <w:rPr>
          <w:rFonts w:ascii="Liberation Serif" w:hAnsi="Liberation Serif" w:cs="Liberation Serif"/>
          <w:b/>
          <w:bCs/>
          <w:i/>
          <w:i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iCs/>
          <w:sz w:val="24"/>
          <w:szCs w:val="24"/>
        </w:rPr>
        <w:t>на 2025 год, кВт*ч/мес.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886"/>
        <w:gridCol w:w="2660"/>
        <w:gridCol w:w="2626"/>
        <w:gridCol w:w="2517"/>
      </w:tblGrid>
      <w:tr w:rsidR="00267F81">
        <w:trPr>
          <w:trHeight w:val="600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Категории потребителей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диапазон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диапазон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 диапазон</w:t>
            </w:r>
          </w:p>
        </w:tc>
      </w:tr>
      <w:tr w:rsidR="00267F81">
        <w:trPr>
          <w:trHeight w:val="538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Население </w:t>
            </w:r>
            <w:r>
              <w:rPr>
                <w:rFonts w:ascii="Liberation Serif" w:eastAsia="Liberation Serif" w:hAnsi="Liberation Serif" w:cs="Liberation Serif"/>
              </w:rPr>
              <w:t>и приравненные к нему категории потребителей 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без ограничения пороговым значением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538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Население </w:t>
            </w:r>
            <w:r>
              <w:rPr>
                <w:rFonts w:ascii="Liberation Serif" w:eastAsia="Liberation Serif" w:hAnsi="Liberation Serif" w:cs="Liberation Serif"/>
              </w:rPr>
              <w:t>и приравненные к нему категории потребителей в отношении объемов потребления электрической энергии потребителями, включающими домохозяйства, состоящие из семей, предусмотренных подпунктом «б» пункта 6 Указа Президента РФ от 23 января 2024 года №63 «О мерах</w:t>
            </w:r>
            <w:r>
              <w:rPr>
                <w:rFonts w:ascii="Liberation Serif" w:eastAsia="Liberation Serif" w:hAnsi="Liberation Serif" w:cs="Liberation Serif"/>
              </w:rPr>
              <w:t xml:space="preserve"> социальной поддержки многодетных семей» 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без ограничения пороговым значением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538"/>
        </w:trPr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Население и приравненные к нему категории потребителей в отношении объемов потребления электрической энергии в жилых и (или) садовых домах, не подключенных к централизованно</w:t>
            </w:r>
            <w:r>
              <w:rPr>
                <w:rFonts w:ascii="Liberation Serif" w:eastAsia="Liberation Serif" w:hAnsi="Liberation Serif" w:cs="Liberation Serif"/>
              </w:rPr>
              <w:t>й системе газоснабжения, оборудованных электроотопительными установками для расчетных периодов (месяцев), относящихся к отопительному периоду (с октября по апрель)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 7 020 включительно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от 7 021 до 10 800 включительно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свыше 10 800</w:t>
            </w:r>
          </w:p>
        </w:tc>
      </w:tr>
      <w:tr w:rsidR="00267F81">
        <w:trPr>
          <w:trHeight w:val="504"/>
        </w:trPr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Население и приравненные к нему категории потребителей в отношении объемов потребления электрической энергии в жилых и (или) садовых домах, не подключенных к централизованной системе газоснабжения, оборудованных электроотопительными установками для расчетн</w:t>
            </w:r>
            <w:r>
              <w:rPr>
                <w:rFonts w:ascii="Liberation Serif" w:eastAsia="Liberation Serif" w:hAnsi="Liberation Serif" w:cs="Liberation Serif"/>
              </w:rPr>
              <w:t>ых периодов (месяцев), не относящихся к отопительному периоду (с мая по сентябрь)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 3 900 включительно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от 3 901 до 6 000 включительно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свыше 6 000</w:t>
            </w:r>
          </w:p>
        </w:tc>
      </w:tr>
      <w:tr w:rsidR="00267F81">
        <w:trPr>
          <w:trHeight w:val="504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Население и приравненные к нему категории потребителей в отношении объемов потребления электрической энергии</w:t>
            </w:r>
            <w:r>
              <w:rPr>
                <w:rFonts w:ascii="Liberation Serif" w:eastAsia="Liberation Serif" w:hAnsi="Liberation Serif" w:cs="Liberation Serif"/>
              </w:rPr>
              <w:t xml:space="preserve"> в жилых домах, в помещениях в многоквартирных домах, не оборудованных электроотопительными установками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 3 900 включительно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от 3 901 до 6 000 включительно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свыше 6 000</w:t>
            </w:r>
          </w:p>
        </w:tc>
      </w:tr>
      <w:tr w:rsidR="00267F81">
        <w:trPr>
          <w:trHeight w:val="504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Население и приравненные к нему категории потребителей в отношении объемов потреб</w:t>
            </w:r>
            <w:r>
              <w:rPr>
                <w:rFonts w:ascii="Liberation Serif" w:eastAsia="Liberation Serif" w:hAnsi="Liberation Serif" w:cs="Liberation Serif"/>
              </w:rPr>
              <w:t>ления электрической энергии в помещениях в многоквартирных домах, оборудованных электроотопительными установками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 3 900 включительно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от 3 901 до 6 000 включительно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свыше 6 000</w:t>
            </w:r>
          </w:p>
        </w:tc>
      </w:tr>
      <w:tr w:rsidR="00267F81">
        <w:trPr>
          <w:trHeight w:val="504"/>
        </w:trPr>
        <w:tc>
          <w:tcPr>
            <w:tcW w:w="6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Приравненные к населению категории потребителей в отношении объемов потреблен</w:t>
            </w:r>
            <w:r>
              <w:rPr>
                <w:rFonts w:ascii="Liberation Serif" w:eastAsia="Liberation Serif" w:hAnsi="Liberation Serif" w:cs="Liberation Serif"/>
              </w:rPr>
              <w:t>ия электрической энергии в расчете на один садовый или огородный земельный участок (для СНТ и ОНТ), на одно помещение (для ИКУ, помещений для содержания осужденных, религиозных организаций), на один гараж, хозяйственную постройку (для ГСК, ГК и иных некомм</w:t>
            </w:r>
            <w:r>
              <w:rPr>
                <w:rFonts w:ascii="Liberation Serif" w:eastAsia="Liberation Serif" w:hAnsi="Liberation Serif" w:cs="Liberation Serif"/>
              </w:rPr>
              <w:t>ерческих объединений граждан), на один прибор учета электрической энергии (для населенных пунктов и жилых зон при воинских частях)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 3 900 включительно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от 3 901 до 6 000 включительно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свыше 6 000</w:t>
            </w:r>
          </w:p>
        </w:tc>
      </w:tr>
    </w:tbl>
    <w:p w:rsidR="00267F81" w:rsidRDefault="00267F81">
      <w:pPr>
        <w:ind w:firstLine="540"/>
        <w:rPr>
          <w:rFonts w:ascii="Liberation Serif" w:hAnsi="Liberation Serif" w:cs="Liberation Serif"/>
          <w:sz w:val="24"/>
          <w:szCs w:val="24"/>
        </w:rPr>
      </w:pP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Информация о тарифах для населения размещена на официально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м сайте Общества по адресу </w:t>
      </w:r>
      <w:hyperlink r:id="rId9" w:tooltip="http://www.saratovenergo.ru/chastnym-litsam/tarify/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  <w:highlight w:val="white"/>
          </w:rPr>
          <w:t>http://www.saratovenergo.ru/chastnym-litsam/tarify/</w:t>
        </w:r>
      </w:hyperlink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.</w:t>
      </w: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Информация о цене закупки электрической энергии и мощности, поставляемой потребителям, за исключением населения и приравненных к нему категорий, размещена на официальном сайте Общества по адресу </w:t>
      </w:r>
      <w:hyperlink r:id="rId10" w:tooltip="http://www.saratovenergo.ru/yuridicheskim-litsam/raschet-stoimosti-elektroenergii/srednevzveshennye-nereguliruemye-tseny-v-chasti-pokupki-na-optovom-rynke/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  <w:highlight w:val="white"/>
          </w:rPr>
          <w:t>http://www.saratovenergo.ru/yuridicheskim-litsam/raschet-stoimosti-elektroenergii/srednevzveshennye-nereguliruemye-tseny-v-chasti-pokupki-na-optovom-rynke/</w:t>
        </w:r>
      </w:hyperlink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.</w:t>
      </w: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Цены закупки электрической энергии и мощности, поставляемых населению и приравненны</w:t>
      </w:r>
      <w:r>
        <w:rPr>
          <w:rFonts w:ascii="Liberation Serif" w:eastAsia="Liberation Serif" w:hAnsi="Liberation Serif" w:cs="Liberation Serif"/>
          <w:sz w:val="24"/>
          <w:szCs w:val="24"/>
        </w:rPr>
        <w:t>м к нему категориям потребителей Саратовской области (индикативные цены на электрическую энергию и на мощность для населения и приравненных к нему категорий потребителей), уст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ановлены на 2025 год приказом ФАС России от 27 ноября 2024 года № 908/24 и состав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ляют на период с 01 января 2025 г. по 30 июня 2025 г. 937,76 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/МВт*ч – на электроэнергию, 406 968,17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 – на мощность, н</w:t>
      </w:r>
      <w:r>
        <w:rPr>
          <w:rFonts w:ascii="Liberation Serif" w:eastAsia="Liberation Serif" w:hAnsi="Liberation Serif" w:cs="Liberation Serif"/>
          <w:sz w:val="24"/>
          <w:szCs w:val="24"/>
        </w:rPr>
        <w:t>а период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 01 июля 2025 г. по 31 декабря 2025 г. 1 022,16 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/МВт*ч – на электроэнергию, 459 914,72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 – на мощность.</w:t>
      </w:r>
    </w:p>
    <w:p w:rsidR="00267F81" w:rsidRDefault="00267F81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Единые (котловые) тарифы на услуги по передаче электрической энергии для потребителей Саратовской области на 2025 год утверждены Постановлением КГРТ Саратовской области от 29 ноября 2024 года № 83:</w:t>
      </w:r>
    </w:p>
    <w:tbl>
      <w:tblPr>
        <w:tblW w:w="14379" w:type="dxa"/>
        <w:jc w:val="center"/>
        <w:tblLayout w:type="fixed"/>
        <w:tblLook w:val="00A0" w:firstRow="1" w:lastRow="0" w:firstColumn="1" w:lastColumn="0" w:noHBand="0" w:noVBand="0"/>
      </w:tblPr>
      <w:tblGrid>
        <w:gridCol w:w="3873"/>
        <w:gridCol w:w="1648"/>
        <w:gridCol w:w="3173"/>
        <w:gridCol w:w="5685"/>
      </w:tblGrid>
      <w:tr w:rsidR="00267F81">
        <w:trPr>
          <w:trHeight w:val="296"/>
          <w:jc w:val="center"/>
        </w:trPr>
        <w:tc>
          <w:tcPr>
            <w:tcW w:w="3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267F81" w:rsidRDefault="00592239">
            <w:pPr>
              <w:widowControl/>
              <w:ind w:firstLine="54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 </w:t>
            </w:r>
          </w:p>
        </w:tc>
        <w:tc>
          <w:tcPr>
            <w:tcW w:w="10506" w:type="dxa"/>
            <w:gridSpan w:val="3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Единые (котловые) тарифы на услуги по передаче электриче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ской энергии, без НДС</w:t>
            </w:r>
          </w:p>
        </w:tc>
      </w:tr>
      <w:tr w:rsidR="00267F81">
        <w:trPr>
          <w:trHeight w:val="263"/>
          <w:jc w:val="center"/>
        </w:trPr>
        <w:tc>
          <w:tcPr>
            <w:tcW w:w="3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7F81" w:rsidRDefault="00267F81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648" w:type="dxa"/>
            <w:vMerge w:val="restart"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Одноставочный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тариф</w:t>
            </w:r>
          </w:p>
        </w:tc>
        <w:tc>
          <w:tcPr>
            <w:tcW w:w="8858" w:type="dxa"/>
            <w:gridSpan w:val="2"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Двухставочный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тариф</w:t>
            </w:r>
          </w:p>
        </w:tc>
      </w:tr>
      <w:tr w:rsidR="00267F81">
        <w:trPr>
          <w:trHeight w:val="547"/>
          <w:jc w:val="center"/>
        </w:trPr>
        <w:tc>
          <w:tcPr>
            <w:tcW w:w="3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7F81" w:rsidRDefault="00267F81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648" w:type="dxa"/>
            <w:vMerge/>
            <w:tcBorders>
              <w:top w:val="single" w:sz="8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Ставка на содержание электрических сетей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Ставка на оплату технологического расхода (потерь) в электрических сетях</w:t>
            </w:r>
          </w:p>
        </w:tc>
      </w:tr>
      <w:tr w:rsidR="00267F81">
        <w:trPr>
          <w:trHeight w:val="270"/>
          <w:jc w:val="center"/>
        </w:trPr>
        <w:tc>
          <w:tcPr>
            <w:tcW w:w="3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7F81" w:rsidRDefault="00267F81">
            <w:pPr>
              <w:widowControl/>
              <w:ind w:firstLine="540"/>
              <w:jc w:val="left"/>
              <w:rPr>
                <w:rFonts w:ascii="Arial CYR" w:hAnsi="Arial CYR" w:cs="Times New Roma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hanging="6"/>
              <w:jc w:val="center"/>
              <w:rPr>
                <w:rFonts w:ascii="Liberation Serif" w:hAnsi="Liberation Serif" w:cs="Liberation Serif"/>
                <w:highlight w:val="white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руб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/кВт*ч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267F81" w:rsidRDefault="00592239">
            <w:pPr>
              <w:widowControl/>
              <w:ind w:hanging="6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руб./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кВт.мес</w:t>
            </w:r>
            <w:proofErr w:type="spellEnd"/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F81" w:rsidRDefault="00592239">
            <w:pPr>
              <w:widowControl/>
              <w:ind w:hanging="6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руб./кВт*ч</w:t>
            </w:r>
          </w:p>
        </w:tc>
      </w:tr>
      <w:tr w:rsidR="00267F81">
        <w:trPr>
          <w:trHeight w:val="315"/>
          <w:jc w:val="center"/>
        </w:trPr>
        <w:tc>
          <w:tcPr>
            <w:tcW w:w="14379" w:type="dxa"/>
            <w:gridSpan w:val="4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540"/>
              <w:jc w:val="center"/>
              <w:rPr>
                <w:rFonts w:ascii="Liberation Serif" w:hAnsi="Liberation Serif" w:cs="Liberation Serif"/>
                <w:b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highlight w:val="white"/>
              </w:rPr>
              <w:t>С 01 января 2025 года по 30 июня 2025 года</w:t>
            </w:r>
          </w:p>
        </w:tc>
      </w:tr>
      <w:tr w:rsidR="00267F81">
        <w:trPr>
          <w:trHeight w:val="315"/>
          <w:jc w:val="center"/>
        </w:trPr>
        <w:tc>
          <w:tcPr>
            <w:tcW w:w="14379" w:type="dxa"/>
            <w:gridSpan w:val="4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Тарифная группа «прочие потребители»</w:t>
            </w:r>
          </w:p>
        </w:tc>
      </w:tr>
      <w:tr w:rsidR="00267F81">
        <w:trPr>
          <w:trHeight w:val="315"/>
          <w:jc w:val="center"/>
        </w:trPr>
        <w:tc>
          <w:tcPr>
            <w:tcW w:w="3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ВН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1,99840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1 090,56165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0,18699</w:t>
            </w:r>
          </w:p>
        </w:tc>
      </w:tr>
      <w:tr w:rsidR="00267F81">
        <w:trPr>
          <w:trHeight w:val="315"/>
          <w:jc w:val="center"/>
        </w:trPr>
        <w:tc>
          <w:tcPr>
            <w:tcW w:w="3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СН-I 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2,84567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1 132,88143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0,39135</w:t>
            </w:r>
          </w:p>
        </w:tc>
      </w:tr>
      <w:tr w:rsidR="00267F81">
        <w:trPr>
          <w:trHeight w:val="247"/>
          <w:jc w:val="center"/>
        </w:trPr>
        <w:tc>
          <w:tcPr>
            <w:tcW w:w="3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СН-II 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4,62308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1 972,28234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0,61514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НН 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5,04523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2 534,51407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1,10709</w:t>
            </w:r>
          </w:p>
        </w:tc>
      </w:tr>
      <w:tr w:rsidR="00267F81">
        <w:trPr>
          <w:trHeight w:val="398"/>
          <w:jc w:val="center"/>
        </w:trPr>
        <w:tc>
          <w:tcPr>
            <w:tcW w:w="14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Тарифная группа «население и приравненные к нему категории потребителей»</w:t>
            </w:r>
          </w:p>
        </w:tc>
      </w:tr>
      <w:tr w:rsidR="00267F81">
        <w:trPr>
          <w:trHeight w:val="230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 диапазон объемов потребления электроэнергии</w:t>
            </w:r>
          </w:p>
        </w:tc>
      </w:tr>
      <w:tr w:rsidR="00267F81">
        <w:trPr>
          <w:trHeight w:val="24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1,94542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0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0,66730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3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0,76569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3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0,78792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08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0,79093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3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1,91016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184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1,96927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71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1,97659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302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1,95962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755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1,94542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1,94949</w:t>
            </w:r>
          </w:p>
        </w:tc>
        <w:tc>
          <w:tcPr>
            <w:tcW w:w="317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30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2 диапазон объемов потребления электроэнергии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1,95333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0,66926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0,76126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0,79342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74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0,79207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2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1,86227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4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1,86227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77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1,91641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1,91641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1,95333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1,86227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30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3 диапазон объемов потребления электроэнергии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5,22635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2,96627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6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3,06478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3,09342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3,09173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22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5,14560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6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5,14560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5,19791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33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5,19791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3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5,22635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99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5,14560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350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540"/>
              <w:jc w:val="center"/>
              <w:rPr>
                <w:rFonts w:ascii="Liberation Serif" w:hAnsi="Liberation Serif" w:cs="Liberation Serif"/>
                <w:b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highlight w:val="white"/>
              </w:rPr>
              <w:t>С 01 июля 2025 года по 31 декабря 2025 года</w:t>
            </w:r>
          </w:p>
        </w:tc>
      </w:tr>
      <w:tr w:rsidR="00267F81">
        <w:trPr>
          <w:trHeight w:val="415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Тарифная группа «прочие потребители»</w:t>
            </w:r>
          </w:p>
        </w:tc>
      </w:tr>
      <w:tr w:rsidR="00267F81">
        <w:trPr>
          <w:trHeight w:val="268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ВН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2,26639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1 238,87803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0,20868</w:t>
            </w:r>
          </w:p>
        </w:tc>
      </w:tr>
      <w:tr w:rsidR="00267F81">
        <w:trPr>
          <w:trHeight w:val="268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СН-I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3,22471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1 286,95330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0,43675</w:t>
            </w:r>
          </w:p>
        </w:tc>
      </w:tr>
      <w:tr w:rsidR="00267F81">
        <w:trPr>
          <w:trHeight w:val="268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СН-II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5,23934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2 240,51274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0,68650</w:t>
            </w:r>
          </w:p>
        </w:tc>
      </w:tr>
      <w:tr w:rsidR="00267F81">
        <w:trPr>
          <w:trHeight w:val="33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НН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5,70918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2 879,20798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1,23551</w:t>
            </w:r>
          </w:p>
        </w:tc>
      </w:tr>
      <w:tr w:rsidR="00267F81">
        <w:trPr>
          <w:trHeight w:val="350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Тарифная группа «население и приравненные к нему категории потребителей»</w:t>
            </w:r>
          </w:p>
        </w:tc>
      </w:tr>
      <w:tr w:rsidR="00267F81">
        <w:trPr>
          <w:trHeight w:val="273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1 диапазон объемов потребления электроэнергии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2,21851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0,77016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6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0,89015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0,91847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6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0,91688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41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2,18711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2,24541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89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2,25166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2,23727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350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2,21851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126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2,22372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68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2 диапазон объемов потребления электроэнергии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4,43676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2,32784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2,43897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55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2,46847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2,46617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2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41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4,32797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65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4,32797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99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4,40378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4,40378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99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4,43676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1407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4,32797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143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3 диапазон объемов потребления электроэнергии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c газовыми плитами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7,18597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2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электроплитами и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4,25416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Городское население с электроплитами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4,37869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2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Городское население с электроотопительными установками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4,40180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Сельское население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4,40028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492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Приравненные к населению категории потребителей: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267F81">
            <w:pPr>
              <w:rPr>
                <w:rFonts w:ascii="Liberation Serif" w:hAnsi="Liberation Serif" w:cs="Liberation Serif"/>
              </w:rPr>
            </w:pPr>
          </w:p>
        </w:tc>
      </w:tr>
      <w:tr w:rsidR="00267F81">
        <w:trPr>
          <w:trHeight w:val="556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исполнители коммунальных услуг и наймодатели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7,08630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4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СНТ и ОНТ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7,08630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99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ЮЛ, приобретающие электроэнергию (мощность) в целях потребления осужденными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7,15682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27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религиозные организации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7,15682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3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 ЮЛ и ФЛ, приобретающие электроэнергию (мощность) в целях потребления на коммунально-бытовые нужды в населенных пунктах и жилых зонах при воинских частях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7,18597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  <w:tr w:rsidR="00267F81">
        <w:trPr>
          <w:trHeight w:val="633"/>
          <w:jc w:val="center"/>
        </w:trPr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- объединения граждан, приобретающие электроэнергию (мощность) для использования в принадлежащих им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хозпостройках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(погреба, сараи), некоммерческие объединения граждан (ГСК, ГК)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ind w:firstLine="0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7,08630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67F81" w:rsidRDefault="00592239">
            <w:pPr>
              <w:widowControl/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</w:p>
        </w:tc>
      </w:tr>
    </w:tbl>
    <w:p w:rsidR="00267F81" w:rsidRDefault="00267F81">
      <w:pPr>
        <w:ind w:firstLine="540"/>
        <w:rPr>
          <w:rFonts w:ascii="Liberation Serif" w:hAnsi="Liberation Serif" w:cs="Liberation Serif"/>
          <w:sz w:val="24"/>
          <w:szCs w:val="24"/>
        </w:rPr>
      </w:pPr>
    </w:p>
    <w:p w:rsidR="00267F81" w:rsidRDefault="00592239">
      <w:pPr>
        <w:widowControl/>
        <w:ind w:firstLine="540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Информация о единых (котловых) тарифах на услуги по передаче элек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трической энергии для потребителей Саратовской области на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2025 год размещена на официальном сайте Общества по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адресу </w:t>
      </w:r>
      <w:hyperlink r:id="rId11" w:tooltip="https://www.saratovenergo.ru/upload/docs/yuridicheskim-litsam/tarify/КГРТ_Постановление_№83_от_29.11.2024_ЕКТ.pdf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</w:rPr>
          <w:t>https://www.saratovenergo.ru/upload/docs/yuridicheskim-litsam/tarify/КГРТ_Постановление_№83_от_29.11.2024_ЕКТ.pdf</w:t>
        </w:r>
      </w:hyperlink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Услуги коммерческого оператора, оказываемые АО «АТС», на 2025 год утверждены Приказом ФАС России от 23 декабря 2024 года №1062/24 и составляют: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на 1 полугодие 2025 г.  – 1,962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/МВт*ч (без НДС);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yellow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на 2 полугодие 2025 г.  – 2,191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</w:t>
      </w:r>
      <w:r>
        <w:rPr>
          <w:rFonts w:ascii="Liberation Serif" w:eastAsia="Liberation Serif" w:hAnsi="Liberation Serif" w:cs="Liberation Serif"/>
          <w:sz w:val="24"/>
          <w:szCs w:val="24"/>
        </w:rPr>
        <w:t>МВт*ч (без НДС).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Услуги АО «СО ЕЭС» на 2025 год утверждены Приказами ФАС России от 22 декабря 2023 года № 1039/23, о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 23 декабря 2024 года № 1063/24 и составляют: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на 1 полугодие 2025 г.  –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2,378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/МВт*ч (без НДС);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на 2 полугодие 2025 г.  – 2,653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/МВт*ч (без НДС).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Разм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ер платы за комплексную услугу АО «ЦФР» на 1 полугодие 2025 г. составляет – 0,471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/МВт*ч (без НДС) и утвержден Наблюдательным советом Ассоциации НП «Совет рынка» 24 мая 2024 года (протокол от 24.05.2024 № 10/2024), на 2 полугодие 2025 г. составляет – 0,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519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руб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/МВт*ч (без НДС) и утвержден Наблюдательным советом Ассоциации НП «Совет рынка» 23 мая 2025 года (протокол от 23.05.2025 № 14/2025).</w:t>
      </w: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 учетом изменений, внесенных Постановлением Правительства РФ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от 12 апреля 2024 г. № 461 в п. 88, 89, 91-94 Основных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положений функционирования розничных рынков электрической энергии, утвержденных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Постановлением Правительства РФ от 04 мая 2012 г. № 442 (далее – Основные положения),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структура предельного уровня нерегулируемых цен для 1-6 ценовых категорий дополнена п</w:t>
      </w:r>
      <w:r>
        <w:rPr>
          <w:rFonts w:ascii="Liberation Serif" w:eastAsia="Liberation Serif" w:hAnsi="Liberation Serif" w:cs="Liberation Serif"/>
          <w:sz w:val="24"/>
          <w:szCs w:val="24"/>
        </w:rPr>
        <w:t>лато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й за услуги по управлению режимами потребления электрической энергии. </w:t>
      </w:r>
    </w:p>
    <w:p w:rsidR="00267F81" w:rsidRDefault="00592239">
      <w:pPr>
        <w:widowControl/>
        <w:ind w:firstLine="540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Информация о величине платы за услуги по управлению режимами потребления электрической энергии, определенной в соответствии с п. 101 Основных положений за 2025 год  размещена на официал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ьном сайте Общества по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адресу </w:t>
      </w:r>
      <w:hyperlink r:id="rId12" w:tooltip="https://www.saratovenergo.ru/yuridicheskim-litsam/raschet-stoimosti-elektroenergii/predelnye-urovni-svobodnykh-nereguliruemykh-tsen/arkhiv-za-2025-god/" w:history="1">
        <w:r>
          <w:rPr>
            <w:rStyle w:val="af0"/>
            <w:rFonts w:ascii="Liberation Serif" w:eastAsia="Liberation Serif" w:hAnsi="Liberation Serif" w:cs="Liberation Serif"/>
            <w:sz w:val="24"/>
            <w:szCs w:val="24"/>
          </w:rPr>
          <w:t>https://www.saratovenergo.ru/yuridicheskim-litsam/raschet-stoimosti-elektroenergii/predelnye-urovni-svobodnykh-nereguliruemykh-tsen/arkhiv-za-2025-god/.</w:t>
        </w:r>
      </w:hyperlink>
    </w:p>
    <w:p w:rsidR="00267F81" w:rsidRDefault="00267F81">
      <w:pPr>
        <w:ind w:firstLine="540"/>
        <w:rPr>
          <w:rFonts w:ascii="Liberation Serif" w:hAnsi="Liberation Serif" w:cs="Liberation Serif"/>
          <w:sz w:val="24"/>
          <w:szCs w:val="24"/>
        </w:rPr>
      </w:pPr>
    </w:p>
    <w:p w:rsidR="00267F81" w:rsidRDefault="00592239">
      <w:pPr>
        <w:ind w:firstLine="540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Сбы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товые надбавки на 2025 год установлены Постановлениями КГРТ Саратовской области от 29 ноября 2024 года № 86 и составляют: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5244"/>
        <w:gridCol w:w="6836"/>
      </w:tblGrid>
      <w:tr w:rsidR="00267F81">
        <w:trPr>
          <w:trHeight w:val="193"/>
          <w:jc w:val="center"/>
        </w:trPr>
        <w:tc>
          <w:tcPr>
            <w:tcW w:w="7573" w:type="dxa"/>
            <w:gridSpan w:val="2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b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с 01 января по 30 июня 2025 года</w:t>
            </w:r>
          </w:p>
        </w:tc>
        <w:tc>
          <w:tcPr>
            <w:tcW w:w="6836" w:type="dxa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b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с 01 июля по 31 декабря 2025 года</w:t>
            </w:r>
          </w:p>
        </w:tc>
      </w:tr>
      <w:tr w:rsidR="00267F81">
        <w:trPr>
          <w:trHeight w:val="193"/>
          <w:jc w:val="center"/>
        </w:trPr>
        <w:tc>
          <w:tcPr>
            <w:tcW w:w="14409" w:type="dxa"/>
            <w:gridSpan w:val="3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b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Тарифная группа «население и приравненные к нему категории потреби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телей»,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руб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/кВт*ч</w:t>
            </w:r>
          </w:p>
        </w:tc>
      </w:tr>
      <w:tr w:rsidR="00267F81">
        <w:trPr>
          <w:trHeight w:val="275"/>
          <w:jc w:val="center"/>
        </w:trPr>
        <w:tc>
          <w:tcPr>
            <w:tcW w:w="7573" w:type="dxa"/>
            <w:gridSpan w:val="2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0,36078</w:t>
            </w:r>
          </w:p>
        </w:tc>
        <w:tc>
          <w:tcPr>
            <w:tcW w:w="6836" w:type="dxa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0,40624</w:t>
            </w:r>
          </w:p>
        </w:tc>
      </w:tr>
      <w:tr w:rsidR="00267F81">
        <w:trPr>
          <w:trHeight w:val="429"/>
          <w:jc w:val="center"/>
        </w:trPr>
        <w:tc>
          <w:tcPr>
            <w:tcW w:w="14409" w:type="dxa"/>
            <w:gridSpan w:val="3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Тарифная группа потребителей «сетевые организации, покупающие электрическую энергию для компенсации потерь электрической энергии»,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руб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/кВт*ч</w:t>
            </w:r>
          </w:p>
        </w:tc>
      </w:tr>
      <w:tr w:rsidR="00267F81">
        <w:trPr>
          <w:trHeight w:val="350"/>
          <w:jc w:val="center"/>
        </w:trPr>
        <w:tc>
          <w:tcPr>
            <w:tcW w:w="7573" w:type="dxa"/>
            <w:gridSpan w:val="2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0,33254</w:t>
            </w:r>
          </w:p>
        </w:tc>
        <w:tc>
          <w:tcPr>
            <w:tcW w:w="6836" w:type="dxa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0,37111</w:t>
            </w:r>
          </w:p>
        </w:tc>
      </w:tr>
      <w:tr w:rsidR="00267F81">
        <w:trPr>
          <w:trHeight w:val="240"/>
          <w:jc w:val="center"/>
        </w:trPr>
        <w:tc>
          <w:tcPr>
            <w:tcW w:w="14409" w:type="dxa"/>
            <w:gridSpan w:val="3"/>
            <w:noWrap/>
            <w:vAlign w:val="center"/>
          </w:tcPr>
          <w:p w:rsidR="00267F81" w:rsidRDefault="00592239">
            <w:pPr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Тарифная группа «прочие потребители»,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руб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/кВт*ч</w:t>
            </w:r>
          </w:p>
        </w:tc>
      </w:tr>
      <w:tr w:rsidR="00267F81">
        <w:trPr>
          <w:trHeight w:val="242"/>
          <w:jc w:val="center"/>
        </w:trPr>
        <w:tc>
          <w:tcPr>
            <w:tcW w:w="2329" w:type="dxa"/>
            <w:noWrap/>
            <w:vAlign w:val="center"/>
          </w:tcPr>
          <w:p w:rsidR="00267F81" w:rsidRDefault="00592239">
            <w:pPr>
              <w:ind w:firstLine="142"/>
              <w:jc w:val="left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Менее 670 кВт</w:t>
            </w:r>
          </w:p>
        </w:tc>
        <w:tc>
          <w:tcPr>
            <w:tcW w:w="5244" w:type="dxa"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0,65911</w:t>
            </w:r>
          </w:p>
        </w:tc>
        <w:tc>
          <w:tcPr>
            <w:tcW w:w="6836" w:type="dxa"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0,74014</w:t>
            </w:r>
          </w:p>
        </w:tc>
      </w:tr>
      <w:tr w:rsidR="00267F81">
        <w:trPr>
          <w:trHeight w:val="273"/>
          <w:jc w:val="center"/>
        </w:trPr>
        <w:tc>
          <w:tcPr>
            <w:tcW w:w="2329" w:type="dxa"/>
            <w:noWrap/>
            <w:vAlign w:val="center"/>
          </w:tcPr>
          <w:p w:rsidR="00267F81" w:rsidRDefault="00592239">
            <w:pPr>
              <w:ind w:firstLine="142"/>
              <w:jc w:val="left"/>
              <w:rPr>
                <w:rFonts w:ascii="Liberation Serif" w:hAnsi="Liberation Serif" w:cs="Liberation Serif"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От 670 кВт до 10 МВт</w:t>
            </w:r>
          </w:p>
        </w:tc>
        <w:tc>
          <w:tcPr>
            <w:tcW w:w="5244" w:type="dxa"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0,44338</w:t>
            </w:r>
          </w:p>
        </w:tc>
        <w:tc>
          <w:tcPr>
            <w:tcW w:w="6836" w:type="dxa"/>
            <w:vAlign w:val="center"/>
          </w:tcPr>
          <w:p w:rsidR="00267F81" w:rsidRDefault="00592239">
            <w:pPr>
              <w:ind w:firstLine="0"/>
              <w:jc w:val="center"/>
              <w:rPr>
                <w:rFonts w:ascii="Liberation Serif" w:hAnsi="Liberation Serif" w:cs="Liberation Serif"/>
                <w:bCs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0,49789</w:t>
            </w:r>
          </w:p>
        </w:tc>
      </w:tr>
      <w:tr w:rsidR="00267F81" w:rsidRPr="000E71BB">
        <w:trPr>
          <w:trHeight w:val="273"/>
          <w:jc w:val="center"/>
        </w:trPr>
        <w:tc>
          <w:tcPr>
            <w:tcW w:w="2329" w:type="dxa"/>
            <w:noWrap/>
            <w:vAlign w:val="center"/>
          </w:tcPr>
          <w:p w:rsidR="00267F81" w:rsidRPr="000E71BB" w:rsidRDefault="00592239">
            <w:pPr>
              <w:ind w:firstLine="142"/>
              <w:jc w:val="left"/>
              <w:rPr>
                <w:rFonts w:ascii="Liberation Serif" w:hAnsi="Liberation Serif" w:cs="Liberation Serif"/>
                <w:bCs/>
              </w:rPr>
            </w:pPr>
            <w:r w:rsidRPr="000E71BB">
              <w:rPr>
                <w:rFonts w:ascii="Liberation Serif" w:eastAsia="Liberation Serif" w:hAnsi="Liberation Serif" w:cs="Liberation Serif"/>
                <w:bCs/>
              </w:rPr>
              <w:t>Не менее 10 МВт</w:t>
            </w:r>
          </w:p>
        </w:tc>
        <w:tc>
          <w:tcPr>
            <w:tcW w:w="5244" w:type="dxa"/>
            <w:vAlign w:val="center"/>
          </w:tcPr>
          <w:p w:rsidR="00267F81" w:rsidRPr="000E71BB" w:rsidRDefault="00592239">
            <w:pPr>
              <w:ind w:firstLine="0"/>
              <w:jc w:val="center"/>
              <w:rPr>
                <w:rFonts w:ascii="Liberation Serif" w:hAnsi="Liberation Serif" w:cs="Liberation Serif"/>
                <w:bCs/>
              </w:rPr>
            </w:pPr>
            <w:r w:rsidRPr="000E71BB">
              <w:rPr>
                <w:rFonts w:ascii="Liberation Serif" w:eastAsia="Liberation Serif" w:hAnsi="Liberation Serif" w:cs="Liberation Serif"/>
                <w:bCs/>
              </w:rPr>
              <w:t>0,22245</w:t>
            </w:r>
          </w:p>
        </w:tc>
        <w:tc>
          <w:tcPr>
            <w:tcW w:w="6836" w:type="dxa"/>
            <w:vAlign w:val="center"/>
          </w:tcPr>
          <w:p w:rsidR="00267F81" w:rsidRPr="000E71BB" w:rsidRDefault="00592239">
            <w:pPr>
              <w:ind w:firstLine="0"/>
              <w:jc w:val="center"/>
              <w:rPr>
                <w:rFonts w:ascii="Liberation Serif" w:hAnsi="Liberation Serif" w:cs="Liberation Serif"/>
                <w:bCs/>
              </w:rPr>
            </w:pPr>
            <w:r w:rsidRPr="000E71BB">
              <w:rPr>
                <w:rFonts w:ascii="Liberation Serif" w:eastAsia="Liberation Serif" w:hAnsi="Liberation Serif" w:cs="Liberation Serif"/>
                <w:bCs/>
              </w:rPr>
              <w:t>0,24980</w:t>
            </w:r>
          </w:p>
        </w:tc>
      </w:tr>
    </w:tbl>
    <w:p w:rsidR="00267F81" w:rsidRPr="000E71BB" w:rsidRDefault="00267F81">
      <w:pPr>
        <w:ind w:firstLine="540"/>
        <w:rPr>
          <w:rFonts w:ascii="Liberation Serif" w:hAnsi="Liberation Serif" w:cs="Liberation Serif"/>
        </w:rPr>
      </w:pPr>
    </w:p>
    <w:p w:rsidR="00267F81" w:rsidRPr="000E71BB" w:rsidRDefault="00592239">
      <w:pPr>
        <w:widowControl/>
        <w:ind w:firstLine="540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Информация об установл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енных сбытовых надбавках гарантирующих поставщиков электрической энергии Саратовской области в границах зоны их деятельности на период с 01 января 2025 года по 31 декабря 2025 года размещена на официальном сайте Общества по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адресу </w:t>
      </w:r>
      <w:hyperlink r:id="rId13" w:tooltip="https://www.saratovenergo.ru/upload/docs/yuridicheskim-litsam/tarify/КГРТ_Постановление_№86_от_29.11.2024_СН_ГП.pdf" w:history="1">
        <w:r w:rsidRPr="000E71BB">
          <w:rPr>
            <w:rStyle w:val="af0"/>
            <w:rFonts w:ascii="Liberation Serif" w:eastAsia="Liberation Serif" w:hAnsi="Liberation Serif" w:cs="Liberation Serif"/>
            <w:sz w:val="24"/>
            <w:szCs w:val="24"/>
          </w:rPr>
          <w:t>https://www.saratovenergo.ru</w:t>
        </w:r>
        <w:r w:rsidRPr="000E71BB">
          <w:rPr>
            <w:rStyle w:val="af0"/>
            <w:rFonts w:ascii="Liberation Serif" w:eastAsia="Liberation Serif" w:hAnsi="Liberation Serif" w:cs="Liberation Serif"/>
            <w:sz w:val="24"/>
            <w:szCs w:val="24"/>
          </w:rPr>
          <w:t>/upload/docs/yuridicheskim-litsam/tarify/КГРТ_Постановление_№86_от_29.11.2024_СН_ГП.pdf</w:t>
        </w:r>
        <w:r w:rsidRPr="000E71BB">
          <w:rPr>
            <w:rFonts w:ascii="Liberation Serif" w:eastAsia="Liberation Serif" w:hAnsi="Liberation Serif" w:cs="Liberation Serif"/>
            <w:sz w:val="24"/>
            <w:szCs w:val="24"/>
          </w:rPr>
          <w:t>.</w:t>
        </w:r>
      </w:hyperlink>
    </w:p>
    <w:p w:rsidR="00267F81" w:rsidRPr="000E71BB" w:rsidRDefault="00592239">
      <w:pPr>
        <w:ind w:firstLine="540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Фактический размер сбытовой надбавки по группе «население» за период с 01 января 2025 г. по 30 июня 2025 г. составил 0,38742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spellStart"/>
      <w:r w:rsidRPr="000E71BB">
        <w:rPr>
          <w:rFonts w:ascii="Liberation Serif" w:eastAsia="Liberation Serif" w:hAnsi="Liberation Serif" w:cs="Liberation Serif"/>
          <w:sz w:val="24"/>
          <w:szCs w:val="24"/>
        </w:rPr>
        <w:t>руб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/кВт*ч., за период с 01 июля 2025 г. по 31 декабря 2025 г. - 0,42752 </w:t>
      </w:r>
      <w:proofErr w:type="spellStart"/>
      <w:r w:rsidRPr="000E71BB">
        <w:rPr>
          <w:rFonts w:ascii="Liberation Serif" w:eastAsia="Liberation Serif" w:hAnsi="Liberation Serif" w:cs="Liberation Serif"/>
          <w:sz w:val="24"/>
          <w:szCs w:val="24"/>
        </w:rPr>
        <w:t>руб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</w:rPr>
        <w:t>/кВт*ч.</w:t>
      </w:r>
    </w:p>
    <w:p w:rsidR="00267F81" w:rsidRPr="000E71BB" w:rsidRDefault="00267F81">
      <w:pPr>
        <w:ind w:firstLine="540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267F81">
      <w:pPr>
        <w:ind w:firstLine="709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592239">
      <w:pPr>
        <w:ind w:firstLine="709"/>
        <w:rPr>
          <w:rStyle w:val="af0"/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i/>
          <w:color w:val="17365D" w:themeColor="text2" w:themeShade="BF"/>
          <w:sz w:val="24"/>
          <w:szCs w:val="24"/>
        </w:rPr>
        <w:t>Основные условия договора купли-продажи электрической энергии приведены для различных категорий потребителей и  размещены на официальном сайте компании по адресу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:</w:t>
      </w: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 </w:t>
      </w:r>
      <w:hyperlink r:id="rId14" w:tooltip="https://www.saratovenergo.ru/raskrytie-informatsii-garantiruyushchim-postavshchikom/the-main-terms-of-the-contract-of-purchase-and-sale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https://www.saratovenergo.ru/raskrytie-informatsii-garantiruyushchim-postavshchikom/the-main-terms-of-the-contract-of-purchase-and-sale/</w:t>
        </w:r>
      </w:hyperlink>
      <w:r w:rsidRPr="000E71BB">
        <w:rPr>
          <w:rStyle w:val="af0"/>
          <w:rFonts w:ascii="Liberation Serif" w:eastAsia="Liberation Serif" w:hAnsi="Liberation Serif" w:cs="Liberation Serif"/>
          <w:color w:val="17365D" w:themeColor="text2" w:themeShade="BF"/>
        </w:rPr>
        <w:t xml:space="preserve">. </w:t>
      </w:r>
    </w:p>
    <w:p w:rsidR="00267F81" w:rsidRPr="000E71BB" w:rsidRDefault="00592239">
      <w:pPr>
        <w:ind w:firstLine="709"/>
        <w:rPr>
          <w:rStyle w:val="af0"/>
          <w:rFonts w:ascii="Liberation Serif" w:hAnsi="Liberation Serif" w:cs="Liberation Serif"/>
          <w:bCs/>
          <w:color w:val="17365D" w:themeColor="text2" w:themeShade="BF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Типовые формы договоров ПАО «Саратовэнерго» размещены на официальном сайте компании по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адресу:</w:t>
      </w: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hyperlink r:id="rId15" w:tooltip="https://www.saratovenergo.ru/chastnym-litsam/tipovye-formy-dogovorov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https://www.saratovenergo.ru/chastnym-litsam/tipovye-formy-dogovorov/</w:t>
        </w:r>
      </w:hyperlink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,</w:t>
      </w:r>
    </w:p>
    <w:p w:rsidR="00267F81" w:rsidRPr="000E71BB" w:rsidRDefault="00592239">
      <w:pPr>
        <w:widowControl/>
        <w:ind w:firstLine="0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 </w:t>
      </w:r>
      <w:hyperlink r:id="rId16" w:tooltip="https://www.saratovenergo.ru/yuridicheskim-litsam/tipovye-formy-dogovorov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https://www.saratovenergo.ru/yuridicheskim-litsam/tipovye-formy-dogovorov/</w:t>
        </w:r>
      </w:hyperlink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.</w:t>
      </w:r>
    </w:p>
    <w:p w:rsidR="00267F81" w:rsidRPr="000E71BB" w:rsidRDefault="00267F81">
      <w:pPr>
        <w:widowControl/>
        <w:ind w:firstLine="0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</w:p>
    <w:p w:rsidR="00267F81" w:rsidRPr="000E71BB" w:rsidRDefault="00592239">
      <w:pPr>
        <w:widowControl/>
        <w:ind w:firstLine="0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ab/>
        <w:t>ПАО «Сар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атовэнерго» большое внимание уделяет вопросам энергосбережения и повышения энергоэффективности своих потребителей. Во исполнение Федерального закона от 23 ноября 2009 года №261-ФЗ «Об энергосбережении и о повышении энергетической эффективности», ПАО «Сарат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овэнерго» предлагает своим клиентам услуги по внедрению энергосберегающих технологий в рамках </w:t>
      </w:r>
      <w:proofErr w:type="spellStart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энергосервисных</w:t>
      </w:r>
      <w:proofErr w:type="spellEnd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контрактов, проведение энергоаудита, тепловизионного обследования, </w:t>
      </w:r>
      <w:proofErr w:type="spellStart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электроизмерений</w:t>
      </w:r>
      <w:proofErr w:type="spellEnd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и испытаний электрооборудования.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 Основными целями энергосбер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ежения предприятия являются: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i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i/>
          <w:color w:val="17365D" w:themeColor="text2" w:themeShade="BF"/>
          <w:sz w:val="24"/>
          <w:szCs w:val="24"/>
        </w:rPr>
        <w:t xml:space="preserve">- повышение эффективности использования энергетических ресурсов на единицу продукта предприятия;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i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i/>
          <w:color w:val="17365D" w:themeColor="text2" w:themeShade="BF"/>
          <w:sz w:val="24"/>
          <w:szCs w:val="24"/>
        </w:rPr>
        <w:t xml:space="preserve">- снижение финансовой нагрузки за счет сокращения платежей за топливо, тепловую и электрическую энергию;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i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i/>
          <w:color w:val="17365D" w:themeColor="text2" w:themeShade="BF"/>
          <w:sz w:val="24"/>
          <w:szCs w:val="24"/>
        </w:rPr>
        <w:t>- улучшение финансовог</w:t>
      </w:r>
      <w:r w:rsidRPr="000E71BB">
        <w:rPr>
          <w:rFonts w:ascii="Liberation Serif" w:eastAsia="Liberation Serif" w:hAnsi="Liberation Serif" w:cs="Liberation Serif"/>
          <w:i/>
          <w:color w:val="17365D" w:themeColor="text2" w:themeShade="BF"/>
          <w:sz w:val="24"/>
          <w:szCs w:val="24"/>
        </w:rPr>
        <w:t>о состояния предприятия за счет снижения платежей за энергоресурсы и, соответственно, дополнительное пополнение бюджета области за счет налоговых поступлений.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Энергосбережение достигается путем внедрения эффективных технологий и разработкой эффективных фин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ансово-экономических механизмов производства, транспортирования и потребления энергетических ресурсов, проведения мероприятий по энергосбережению, внедрения систем учета.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  <w:u w:val="single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Информация по вопросам энергосбережения и по возможным вариантам повышения энергоэффе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ктивности размещена на официальном сайте компании по адресу: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u w:val="single"/>
        </w:rPr>
        <w:t xml:space="preserve"> </w:t>
      </w:r>
      <w:hyperlink r:id="rId17" w:tooltip="https://www.saratovenergo.ru/uslugi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https://www.saratovenergo.ru/uslugi/</w:t>
        </w:r>
      </w:hyperlink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u w:val="single"/>
        </w:rPr>
        <w:t xml:space="preserve">. </w:t>
      </w:r>
    </w:p>
    <w:p w:rsidR="00267F81" w:rsidRPr="000E71BB" w:rsidRDefault="00267F81">
      <w:pPr>
        <w:widowControl/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  <w:u w:val="single"/>
        </w:rPr>
      </w:pPr>
    </w:p>
    <w:p w:rsidR="00267F81" w:rsidRPr="000E71BB" w:rsidRDefault="00592239">
      <w:pPr>
        <w:ind w:firstLine="709"/>
        <w:rPr>
          <w:rStyle w:val="af0"/>
          <w:rFonts w:ascii="Liberation Serif" w:hAnsi="Liberation Serif" w:cs="Liberation Serif"/>
          <w:color w:val="17365D" w:themeColor="text2" w:themeShade="BF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Для клиентов ПАО «Саратовэнерго» работает телефон «горячей л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инии» 8 (8452) 69-45-45, Интернет-приёмная на официальном сайте по адресу: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</w:rPr>
        <w:t xml:space="preserve"> </w:t>
      </w:r>
      <w:hyperlink r:id="rId18" w:tooltip="https://saratovenergo.ru/internet-priemnaya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https://saratovenergo.ru/internet-priemnaya/</w:t>
        </w:r>
      </w:hyperlink>
      <w:r w:rsidRPr="000E71BB">
        <w:rPr>
          <w:rStyle w:val="af0"/>
          <w:rFonts w:ascii="Liberation Serif" w:eastAsia="Liberation Serif" w:hAnsi="Liberation Serif" w:cs="Liberation Serif"/>
          <w:color w:val="17365D" w:themeColor="text2" w:themeShade="BF"/>
        </w:rPr>
        <w:t>,</w:t>
      </w:r>
      <w:r w:rsidRPr="000E71BB">
        <w:rPr>
          <w:rFonts w:ascii="Liberation Serif" w:eastAsia="Liberation Serif" w:hAnsi="Liberation Serif" w:cs="Liberation Serif"/>
          <w:b/>
          <w:bCs/>
          <w:color w:val="17365D" w:themeColor="text2" w:themeShade="BF"/>
          <w:sz w:val="24"/>
          <w:szCs w:val="24"/>
        </w:rPr>
        <w:t xml:space="preserve"> сервис «Личный кабинет для физических лиц»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</w:rPr>
        <w:t xml:space="preserve"> </w:t>
      </w:r>
      <w:hyperlink r:id="rId19" w:tooltip="http://www.my.saratovenergo.ru/" w:history="1">
        <w:r w:rsidRPr="000E71BB">
          <w:rPr>
            <w:rStyle w:val="af0"/>
            <w:rFonts w:ascii="Liberation Serif" w:eastAsia="Liberation Serif" w:hAnsi="Liberation Serif" w:cs="Liberation Serif"/>
            <w:bCs/>
            <w:color w:val="17365D" w:themeColor="text2" w:themeShade="BF"/>
            <w:sz w:val="24"/>
            <w:szCs w:val="24"/>
          </w:rPr>
          <w:t>http://www.my.saratovenergo.ru/</w:t>
        </w:r>
      </w:hyperlink>
      <w:r w:rsidRPr="000E71BB">
        <w:rPr>
          <w:rFonts w:ascii="Liberation Serif" w:eastAsia="Liberation Serif" w:hAnsi="Liberation Serif" w:cs="Liberation Serif"/>
          <w:b/>
          <w:bCs/>
          <w:color w:val="17365D" w:themeColor="text2" w:themeShade="BF"/>
          <w:sz w:val="24"/>
          <w:szCs w:val="24"/>
        </w:rPr>
        <w:t>, «Личный кабинет для юридических лиц» </w:t>
      </w:r>
      <w:hyperlink r:id="rId20" w:tooltip="https://lk.saratovenergo.ru/login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https://lk.saratovenergo.ru/login</w:t>
        </w:r>
      </w:hyperlink>
      <w:r w:rsidRPr="000E71BB">
        <w:rPr>
          <w:rStyle w:val="af0"/>
          <w:rFonts w:ascii="Liberation Serif" w:eastAsia="Liberation Serif" w:hAnsi="Liberation Serif" w:cs="Liberation Serif"/>
          <w:color w:val="17365D" w:themeColor="text2" w:themeShade="BF"/>
        </w:rPr>
        <w:t>,</w:t>
      </w:r>
      <w:r w:rsidRPr="000E71BB">
        <w:rPr>
          <w:rFonts w:ascii="Liberation Serif" w:eastAsia="Liberation Serif" w:hAnsi="Liberation Serif" w:cs="Liberation Serif"/>
          <w:b/>
          <w:bCs/>
          <w:color w:val="17365D" w:themeColor="text2" w:themeShade="BF"/>
          <w:sz w:val="24"/>
          <w:szCs w:val="24"/>
        </w:rPr>
        <w:t xml:space="preserve">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официальные группы в соцсетях </w:t>
      </w:r>
      <w:proofErr w:type="spellStart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-US"/>
        </w:rPr>
        <w:t>vk</w:t>
      </w:r>
      <w:proofErr w:type="spellEnd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.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-US"/>
        </w:rPr>
        <w:t>com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, </w:t>
      </w:r>
      <w:proofErr w:type="spellStart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-US"/>
        </w:rPr>
        <w:t>odnoklassniki</w:t>
      </w:r>
      <w:proofErr w:type="spellEnd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.</w:t>
      </w:r>
      <w:proofErr w:type="spellStart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-US"/>
        </w:rPr>
        <w:t>ru</w:t>
      </w:r>
      <w:proofErr w:type="spellEnd"/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, онлайн-консультант в виде всплывающего окна на </w:t>
      </w:r>
      <w:hyperlink r:id="rId21" w:tooltip="https://www.saratovenergo.ru/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</w:t>
        </w:r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://www.saratovenergo.ru/</w:t>
        </w:r>
      </w:hyperlink>
      <w:r w:rsidRPr="000E71BB">
        <w:rPr>
          <w:rStyle w:val="af0"/>
          <w:rFonts w:ascii="Liberation Serif" w:eastAsia="Liberation Serif" w:hAnsi="Liberation Serif" w:cs="Liberation Serif"/>
          <w:color w:val="17365D" w:themeColor="text2" w:themeShade="BF"/>
        </w:rPr>
        <w:t>.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У граждан-потребителей есть возможность ежемесячно передавать показания приборов учета электроэнергии любым удобным  способом: по телефонам клиентских офисов, по электронной почте, через «Личный кабинет» на официальном сайте компа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нии, по телефону «горячей линии» </w:t>
      </w:r>
      <w:r w:rsidRPr="000E71BB">
        <w:rPr>
          <w:rFonts w:ascii="Liberation Serif" w:eastAsia="Liberation Serif" w:hAnsi="Liberation Serif" w:cs="Liberation Serif"/>
          <w:b/>
          <w:bCs/>
          <w:i/>
          <w:iCs/>
          <w:color w:val="17365D" w:themeColor="text2" w:themeShade="BF"/>
          <w:sz w:val="24"/>
          <w:szCs w:val="24"/>
        </w:rPr>
        <w:t>8 (8452) 69-45-45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, систему голосового меню (8452) 69-41-41, по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-US"/>
        </w:rPr>
        <w:t>SMS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- единый номер для передачи показаний через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"/>
        </w:rPr>
        <w:t>SMS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для всех клиентов-физических лиц: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lang w:val="en"/>
        </w:rPr>
        <w:t> 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</w:t>
      </w:r>
      <w:r w:rsidRPr="000E71BB">
        <w:rPr>
          <w:rStyle w:val="aff9"/>
          <w:rFonts w:ascii="Liberation Serif" w:eastAsia="Liberation Serif" w:hAnsi="Liberation Serif" w:cs="Liberation Serif"/>
          <w:i/>
          <w:iCs/>
          <w:color w:val="17365D" w:themeColor="text2" w:themeShade="BF"/>
          <w:sz w:val="24"/>
          <w:szCs w:val="24"/>
        </w:rPr>
        <w:t>8-927-277-34-11</w:t>
      </w:r>
      <w:r w:rsidRPr="000E71BB">
        <w:rPr>
          <w:rFonts w:ascii="Liberation Serif" w:eastAsia="Liberation Serif" w:hAnsi="Liberation Serif" w:cs="Liberation Serif"/>
          <w:i/>
          <w:iCs/>
          <w:color w:val="17365D" w:themeColor="text2" w:themeShade="BF"/>
          <w:sz w:val="24"/>
          <w:szCs w:val="24"/>
        </w:rPr>
        <w:t>.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Информация о способах передачи показаний приборов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учета электроэнергии размещена на официальном сайте компании в разделе: Главная // Частным лицам // Прием показаний, по адресу</w:t>
      </w:r>
      <w:r w:rsidRPr="000E71BB">
        <w:rPr>
          <w:rFonts w:ascii="Liberation Serif" w:eastAsia="Liberation Serif" w:hAnsi="Liberation Serif" w:cs="Liberation Serif"/>
          <w:b/>
          <w:bCs/>
          <w:color w:val="17365D" w:themeColor="text2" w:themeShade="BF"/>
          <w:sz w:val="24"/>
          <w:szCs w:val="24"/>
        </w:rPr>
        <w:t>: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</w:rPr>
        <w:t xml:space="preserve"> </w:t>
      </w:r>
      <w:hyperlink r:id="rId22" w:tooltip="https://www.saratovenergo.ru/chastnym-litsam/priem-pokazaniy.php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https://www.saratovenergo.ru/chastnym-litsam/priem-pokazaniy.php</w:t>
        </w:r>
      </w:hyperlink>
      <w:r w:rsidRPr="000E71BB">
        <w:rPr>
          <w:rStyle w:val="af0"/>
          <w:rFonts w:ascii="Liberation Serif" w:eastAsia="Liberation Serif" w:hAnsi="Liberation Serif" w:cs="Liberation Serif"/>
          <w:color w:val="17365D" w:themeColor="text2" w:themeShade="BF"/>
        </w:rPr>
        <w:t xml:space="preserve">,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а также в платёжном документе, ежемесячно выставляемом гражданам-потребителям компании.</w:t>
      </w:r>
    </w:p>
    <w:p w:rsidR="00267F81" w:rsidRPr="000E71BB" w:rsidRDefault="00267F81">
      <w:pPr>
        <w:widowControl/>
        <w:ind w:firstLine="709"/>
        <w:rPr>
          <w:rFonts w:ascii="Liberation Serif" w:hAnsi="Liberation Serif" w:cs="Liberation Serif"/>
          <w:b/>
          <w:i/>
          <w:color w:val="17365D" w:themeColor="text2" w:themeShade="BF"/>
          <w:sz w:val="24"/>
          <w:szCs w:val="24"/>
        </w:rPr>
      </w:pPr>
    </w:p>
    <w:p w:rsidR="00267F81" w:rsidRPr="000E71BB" w:rsidRDefault="00592239">
      <w:pPr>
        <w:ind w:firstLine="709"/>
        <w:jc w:val="center"/>
        <w:rPr>
          <w:rFonts w:ascii="Liberation Serif" w:hAnsi="Liberation Serif" w:cs="Liberation Serif"/>
          <w:b/>
          <w:i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i/>
          <w:color w:val="17365D" w:themeColor="text2" w:themeShade="BF"/>
          <w:sz w:val="24"/>
          <w:szCs w:val="24"/>
        </w:rPr>
        <w:t>Информация о деятельности энергоснабжающей, энергосбытовой организации и гарантирующего поставщика</w:t>
      </w:r>
    </w:p>
    <w:p w:rsidR="00267F81" w:rsidRPr="000E71BB" w:rsidRDefault="00592239">
      <w:pPr>
        <w:ind w:firstLine="709"/>
        <w:jc w:val="center"/>
        <w:rPr>
          <w:rFonts w:ascii="Liberation Serif" w:hAnsi="Liberation Serif" w:cs="Liberation Serif"/>
          <w:b/>
          <w:i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i/>
          <w:color w:val="17365D" w:themeColor="text2" w:themeShade="BF"/>
          <w:sz w:val="24"/>
          <w:szCs w:val="24"/>
        </w:rPr>
        <w:t>информация о гарантирующем поставщике, включая зону его обслуживания, место нахождения, почтовый адрес, телефоны, факс, адрес электронной почты.</w:t>
      </w:r>
    </w:p>
    <w:p w:rsidR="00267F81" w:rsidRPr="000E71BB" w:rsidRDefault="00267F81">
      <w:pPr>
        <w:ind w:firstLine="709"/>
        <w:jc w:val="center"/>
        <w:rPr>
          <w:rFonts w:ascii="Liberation Serif" w:hAnsi="Liberation Serif" w:cs="Liberation Serif"/>
          <w:b/>
          <w:i/>
          <w:color w:val="17365D" w:themeColor="text2" w:themeShade="BF"/>
          <w:sz w:val="24"/>
          <w:szCs w:val="24"/>
        </w:rPr>
      </w:pP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Информация </w:t>
      </w: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>о гарантирующем поставщике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: Постановлением Комитета государственного регулирования тарифов Саратовской области от 23 октября 2006 г. ОАО «Саратовэнерго» присвоен статус гарантирующего поставщика. Приказом Федеральной службы по тарифам РФ от 12 февраля 2007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г. № 17-э ОАО «Саратовэнерго» включено в Федеральный информационный реестр гарантирующих поставщиков и зон их деятельности.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В структуру компании входят управление и 7 межрайонных отделений, филиалы которых расположены во всех районных центрах муниципальны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х образований Саратовской области. </w:t>
      </w:r>
    </w:p>
    <w:p w:rsidR="00267F81" w:rsidRPr="000E71BB" w:rsidRDefault="00592239">
      <w:pPr>
        <w:ind w:firstLine="709"/>
        <w:jc w:val="left"/>
        <w:rPr>
          <w:rFonts w:ascii="Liberation Serif" w:hAnsi="Liberation Serif" w:cs="Liberation Serif"/>
          <w:b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Контактная информация размещена </w:t>
      </w:r>
      <w:hyperlink r:id="rId23" w:tooltip="https://www.saratovenergo.ru/about/contacts/territorial-divisions/" w:history="1">
        <w:r w:rsidRPr="000E71BB">
          <w:rPr>
            <w:rStyle w:val="12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https://www.saratovenergo.ru/abou</w:t>
        </w:r>
        <w:r w:rsidRPr="000E71BB">
          <w:rPr>
            <w:rStyle w:val="12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t/contacts/territorial-divisions/</w:t>
        </w:r>
      </w:hyperlink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 . </w:t>
      </w:r>
    </w:p>
    <w:p w:rsidR="00267F81" w:rsidRPr="000E71BB" w:rsidRDefault="00267F81">
      <w:pPr>
        <w:ind w:firstLine="709"/>
        <w:rPr>
          <w:rFonts w:ascii="Liberation Serif" w:hAnsi="Liberation Serif" w:cs="Liberation Serif"/>
          <w:b/>
          <w:bCs/>
          <w:color w:val="17365D" w:themeColor="text2" w:themeShade="BF"/>
          <w:sz w:val="24"/>
          <w:szCs w:val="24"/>
        </w:rPr>
      </w:pPr>
    </w:p>
    <w:p w:rsidR="00267F81" w:rsidRPr="000E71BB" w:rsidRDefault="00592239">
      <w:pPr>
        <w:ind w:firstLine="709"/>
        <w:rPr>
          <w:rFonts w:ascii="Liberation Serif" w:hAnsi="Liberation Serif" w:cs="Liberation Serif"/>
          <w:b/>
          <w:bCs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Место нахождения: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Саратовская область</w:t>
      </w: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,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г. Саратов</w:t>
      </w: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. </w:t>
      </w:r>
    </w:p>
    <w:p w:rsidR="00267F81" w:rsidRPr="000E71BB" w:rsidRDefault="00267F81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color w:val="17365D" w:themeColor="text2" w:themeShade="BF"/>
          <w:sz w:val="24"/>
          <w:szCs w:val="24"/>
        </w:rPr>
        <w:t xml:space="preserve">Почтовый адрес: 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Российская Федерация, 410002, Саратовская область, г. Саратов, ул. им. Мичурина И.В., д.166/168.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color w:val="17365D" w:themeColor="text2" w:themeShade="BF"/>
          <w:sz w:val="24"/>
          <w:szCs w:val="24"/>
          <w:u w:val="single"/>
        </w:rPr>
      </w:pP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>Тел: (8452) 57-35-73, факс: (8452) 573-599, электрон</w:t>
      </w:r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</w:rPr>
        <w:t xml:space="preserve">ная почта: </w:t>
      </w:r>
      <w:hyperlink r:id="rId24" w:tooltip="mailto:sar1-office@interrao.ru" w:history="1">
        <w:r w:rsidRPr="000E71BB">
          <w:rPr>
            <w:rStyle w:val="af0"/>
            <w:rFonts w:ascii="Liberation Serif" w:eastAsia="Liberation Serif" w:hAnsi="Liberation Serif" w:cs="Liberation Serif"/>
            <w:color w:val="17365D" w:themeColor="text2" w:themeShade="BF"/>
            <w:sz w:val="24"/>
            <w:szCs w:val="24"/>
          </w:rPr>
          <w:t>sar1-office@interrao.ru</w:t>
        </w:r>
      </w:hyperlink>
      <w:r w:rsidRPr="000E71BB">
        <w:rPr>
          <w:rFonts w:ascii="Liberation Serif" w:eastAsia="Liberation Serif" w:hAnsi="Liberation Serif" w:cs="Liberation Serif"/>
          <w:color w:val="17365D" w:themeColor="text2" w:themeShade="BF"/>
          <w:sz w:val="24"/>
          <w:szCs w:val="24"/>
          <w:u w:val="single"/>
        </w:rPr>
        <w:t xml:space="preserve">. </w:t>
      </w: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i/>
          <w:iCs/>
          <w:sz w:val="24"/>
          <w:szCs w:val="24"/>
        </w:rPr>
        <w:t>Сведения о границах зоны деятельности гарантирующего поставщика: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границами зоны деятельности гарантирующего поставщика ПАО «Саратовэнерго» являются административные границы территории Саратовской области, за исключением зон деятельности следующих гарантирующих поставщиков: ООО «СПГЭС», ООО «</w:t>
      </w:r>
      <w:proofErr w:type="spellStart"/>
      <w:r w:rsidRPr="000E71BB">
        <w:rPr>
          <w:rFonts w:ascii="Liberation Serif" w:eastAsia="Liberation Serif" w:hAnsi="Liberation Serif" w:cs="Liberation Serif"/>
          <w:sz w:val="24"/>
          <w:szCs w:val="24"/>
        </w:rPr>
        <w:t>Русэнергосбыт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</w:rPr>
        <w:t>» (Постановлени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>е комитета государственного регулирования тарифов Саратовской области от 23.10.2006 № 14/4 (ред. от 28.12.2016) «О присвоении статуса гарантирующего поставщика ПАО «Саратовэнерго»).</w:t>
      </w:r>
    </w:p>
    <w:p w:rsidR="00267F81" w:rsidRPr="000E71BB" w:rsidRDefault="00267F81">
      <w:pPr>
        <w:widowControl/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267F81" w:rsidRPr="000E71BB" w:rsidRDefault="00267F81">
      <w:pPr>
        <w:ind w:firstLine="709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Перечень лицензий на осуществление соответствующего вида деятельности: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Д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>еятельность по продаже электрической энергии гражданам не лицензируется.</w:t>
      </w:r>
    </w:p>
    <w:p w:rsidR="00267F81" w:rsidRPr="000E71BB" w:rsidRDefault="0059223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Деятельность по реализации электрической энергии на розничном рынке потребителям - юридическим лицам не лицензируется.</w:t>
      </w:r>
    </w:p>
    <w:p w:rsidR="00267F81" w:rsidRPr="000E71BB" w:rsidRDefault="00267F81">
      <w:pPr>
        <w:widowControl/>
        <w:ind w:firstLine="709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b/>
          <w:bCs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Информация о банковских реквизитах:</w:t>
      </w:r>
    </w:p>
    <w:p w:rsidR="00267F81" w:rsidRPr="000E71BB" w:rsidRDefault="00592239">
      <w:pPr>
        <w:widowControl/>
        <w:jc w:val="left"/>
        <w:rPr>
          <w:rFonts w:ascii="Liberation Serif" w:hAnsi="Liberation Serif" w:cs="Liberation Serif"/>
          <w:b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ПАО «Саратовэнерго»</w:t>
      </w:r>
      <w:r w:rsidRPr="000E71BB">
        <w:rPr>
          <w:rFonts w:ascii="Liberation Serif" w:eastAsia="Liberation Serif" w:hAnsi="Liberation Serif" w:cs="Liberation Serif"/>
          <w:b/>
          <w:sz w:val="24"/>
          <w:szCs w:val="24"/>
          <w:lang w:val="en"/>
        </w:rPr>
        <w:t> </w:t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 xml:space="preserve"> </w:t>
      </w:r>
    </w:p>
    <w:p w:rsidR="00267F81" w:rsidRPr="000E71BB" w:rsidRDefault="00592239">
      <w:pPr>
        <w:widowControl/>
        <w:ind w:left="709" w:firstLine="0"/>
        <w:jc w:val="left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41000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>2, Саратовская область, Г.О. город Саратов, г. Саратов, ул. им. Мичурина И.В., д. 166/168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ОГРН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1026402199636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ОКПО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00103355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ИНН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6450014808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КПП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785150001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Р/</w:t>
      </w:r>
      <w:proofErr w:type="spellStart"/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сч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  <w:lang w:val="en"/>
        </w:rPr>
        <w:t>  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40702810940000073851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Банк: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ПАО Сбербанк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БИК</w:t>
      </w:r>
      <w:r w:rsidRPr="000E71BB">
        <w:rPr>
          <w:rFonts w:ascii="Liberation Serif" w:eastAsia="Liberation Serif" w:hAnsi="Liberation Serif" w:cs="Liberation Serif"/>
          <w:b/>
          <w:sz w:val="24"/>
          <w:szCs w:val="24"/>
          <w:lang w:val="en"/>
        </w:rPr>
        <w:t> </w:t>
      </w:r>
      <w:r w:rsidRPr="000E71BB">
        <w:rPr>
          <w:rFonts w:ascii="Liberation Serif" w:eastAsia="Liberation Serif" w:hAnsi="Liberation Serif" w:cs="Liberation Serif"/>
          <w:sz w:val="24"/>
          <w:szCs w:val="24"/>
          <w:lang w:val="en"/>
        </w:rPr>
        <w:t> 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044525225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br w:type="textWrapping" w:clear="all"/>
      </w: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Кор/</w:t>
      </w:r>
      <w:proofErr w:type="spellStart"/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>сч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30101810400000000225</w:t>
      </w:r>
    </w:p>
    <w:p w:rsidR="00267F81" w:rsidRPr="000E71BB" w:rsidRDefault="00267F81">
      <w:pPr>
        <w:widowControl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267F81" w:rsidRPr="000E71BB" w:rsidRDefault="00592239">
      <w:pPr>
        <w:widowControl/>
        <w:ind w:firstLine="709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 xml:space="preserve">Информация об изменении основных условий договора купли-продажи электрической энергии и условий обслуживания населения: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>изменения условий договора энергоснабжения и (или) купли-продажи электроэнергии и дополнения к нему производится путем заключения дополн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>ительных соглашений, подписанных обеими Сторонами, в течение всего срока действия договора.</w:t>
      </w:r>
    </w:p>
    <w:p w:rsidR="00267F81" w:rsidRPr="000E71BB" w:rsidRDefault="00267F81">
      <w:pPr>
        <w:ind w:firstLine="70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267F81" w:rsidRPr="000E71BB" w:rsidRDefault="00592239">
      <w:pPr>
        <w:shd w:val="clear" w:color="FFFFFF" w:themeColor="background1" w:fill="FFFFFF" w:themeFill="background1"/>
        <w:ind w:firstLine="70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i/>
          <w:sz w:val="24"/>
          <w:szCs w:val="24"/>
        </w:rPr>
        <w:t>Информация об инвестиционной программе.</w:t>
      </w:r>
    </w:p>
    <w:p w:rsidR="00267F81" w:rsidRPr="000E71BB" w:rsidRDefault="00267F81">
      <w:pPr>
        <w:shd w:val="clear" w:color="FFFFFF" w:themeColor="background1" w:fill="FFFFFF" w:themeFill="background1"/>
        <w:ind w:firstLine="70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За 2025 год Обществом осуществлены инвестиции в форме капитальных вложений в объеме:</w:t>
      </w:r>
    </w:p>
    <w:p w:rsidR="00267F81" w:rsidRPr="000E71BB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07"/>
        <w:gridCol w:w="2694"/>
      </w:tblGrid>
      <w:tr w:rsidR="00267F81" w:rsidRPr="000E71BB">
        <w:trPr>
          <w:trHeight w:val="469"/>
        </w:trPr>
        <w:tc>
          <w:tcPr>
            <w:tcW w:w="11907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694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Сумма, в тыс. руб.</w:t>
            </w:r>
          </w:p>
        </w:tc>
      </w:tr>
      <w:tr w:rsidR="00267F81" w:rsidRPr="000E71BB">
        <w:trPr>
          <w:trHeight w:val="561"/>
        </w:trPr>
        <w:tc>
          <w:tcPr>
            <w:tcW w:w="11907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Финансирование, тыс. руб. с НДС</w:t>
            </w:r>
          </w:p>
        </w:tc>
        <w:tc>
          <w:tcPr>
            <w:tcW w:w="2694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</w:rPr>
              <w:t>439 464</w:t>
            </w:r>
          </w:p>
        </w:tc>
      </w:tr>
      <w:tr w:rsidR="00267F81" w:rsidRPr="000E71BB">
        <w:trPr>
          <w:trHeight w:val="552"/>
        </w:trPr>
        <w:tc>
          <w:tcPr>
            <w:tcW w:w="11907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</w:rPr>
              <w:t>Освоение, тыс. руб. без НДС</w:t>
            </w:r>
          </w:p>
        </w:tc>
        <w:tc>
          <w:tcPr>
            <w:tcW w:w="2694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353 659</w:t>
            </w:r>
          </w:p>
        </w:tc>
      </w:tr>
      <w:tr w:rsidR="00267F81" w:rsidRPr="000E71BB">
        <w:trPr>
          <w:trHeight w:val="418"/>
        </w:trPr>
        <w:tc>
          <w:tcPr>
            <w:tcW w:w="11907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undefined"/>
            <w:bookmarkEnd w:id="0"/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</w:rPr>
              <w:t>Ввод в ОС, тыс. руб. без НДС</w:t>
            </w:r>
          </w:p>
        </w:tc>
        <w:tc>
          <w:tcPr>
            <w:tcW w:w="2694" w:type="dxa"/>
          </w:tcPr>
          <w:p w:rsidR="00267F81" w:rsidRPr="000E71BB" w:rsidRDefault="00592239">
            <w:pPr>
              <w:shd w:val="clear" w:color="FFFFFF" w:themeColor="background1" w:fill="FFFFFF" w:themeFill="background1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71BB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354 074</w:t>
            </w:r>
          </w:p>
        </w:tc>
      </w:tr>
    </w:tbl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b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b/>
          <w:sz w:val="24"/>
          <w:szCs w:val="24"/>
        </w:rPr>
        <w:t xml:space="preserve">Инвестиции представлены по следующим основным направлениям: </w:t>
      </w:r>
    </w:p>
    <w:p w:rsidR="00267F81" w:rsidRPr="000E71BB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-организация учета электрической энергии потребителей Общества в части выполнения предусмотренных пунктом 5 статьи 37 Федерального закона "Об электроэнергетике" обязанностей гарантирующего поставщика по обеспечению коммерческого учета электрической энергии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(мощности);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-программное обеспечение;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-обеспечение расширения функциональных возможностей </w:t>
      </w:r>
      <w:proofErr w:type="spellStart"/>
      <w:r w:rsidRPr="000E71BB">
        <w:rPr>
          <w:rFonts w:ascii="Liberation Serif" w:eastAsia="Liberation Serif" w:hAnsi="Liberation Serif" w:cs="Liberation Serif"/>
          <w:sz w:val="24"/>
          <w:szCs w:val="24"/>
        </w:rPr>
        <w:t>биллинговых</w:t>
      </w:r>
      <w:proofErr w:type="spellEnd"/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систем для повышения эффективности расчетов.</w:t>
      </w:r>
    </w:p>
    <w:p w:rsidR="00267F81" w:rsidRPr="000E71BB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Инвестирование в приобретение объектов 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основных средств и нематериальных активов (финансирование, в тыс. руб. с НДС) осуществлялось за счет следующих средств: 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-текущих амортизационных отчислений, учтенных в ценах (тарифах) по основному виду деятельности – 101 781 тыс. руб.;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-прибыли, направлен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ной на инвестиции по основному виду деятельности – 265 622 тыс. руб.; </w:t>
      </w: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-кроме того источник финансирования - НДС составил 72 062 тыс. руб.</w:t>
      </w:r>
    </w:p>
    <w:p w:rsidR="00267F81" w:rsidRPr="000E71BB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p w:rsidR="00267F81" w:rsidRPr="000E71BB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Плановые источники инвестиционной программы Общества утверждены приказом Министерства промышленности и энергетики Са</w:t>
      </w:r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ратовской области от </w:t>
      </w:r>
      <w:proofErr w:type="gramStart"/>
      <w:r w:rsidRPr="000E71BB">
        <w:rPr>
          <w:rFonts w:ascii="Liberation Serif" w:eastAsia="Liberation Serif" w:hAnsi="Liberation Serif" w:cs="Liberation Serif"/>
          <w:sz w:val="24"/>
          <w:szCs w:val="24"/>
        </w:rPr>
        <w:t>24.07.2025  года</w:t>
      </w:r>
      <w:proofErr w:type="gramEnd"/>
      <w:r w:rsidRPr="000E71BB">
        <w:rPr>
          <w:rFonts w:ascii="Liberation Serif" w:eastAsia="Liberation Serif" w:hAnsi="Liberation Serif" w:cs="Liberation Serif"/>
          <w:sz w:val="24"/>
          <w:szCs w:val="24"/>
        </w:rPr>
        <w:t xml:space="preserve"> № 170.</w:t>
      </w:r>
    </w:p>
    <w:p w:rsidR="00267F81" w:rsidRPr="000E71BB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p w:rsidR="00267F81" w:rsidRDefault="00592239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  <w:r w:rsidRPr="000E71BB">
        <w:rPr>
          <w:rFonts w:ascii="Liberation Serif" w:eastAsia="Liberation Serif" w:hAnsi="Liberation Serif" w:cs="Liberation Serif"/>
          <w:sz w:val="24"/>
          <w:szCs w:val="24"/>
        </w:rPr>
        <w:t>Более подробно ознакомиться с годовым отчетом об исполнении инвестиционной программы можно по ссылке: https://invest.gosuslugi.ru/investportal/ipr/06483/ОИПРОРВД за 2025 год.zip/v1/ОИПРОРВД за 2025 год.zip</w:t>
      </w:r>
    </w:p>
    <w:p w:rsidR="00267F81" w:rsidRDefault="00267F81">
      <w:pPr>
        <w:shd w:val="clear" w:color="FFFFFF" w:themeColor="background1" w:fill="FFFFFF" w:themeFill="background1"/>
        <w:rPr>
          <w:rFonts w:ascii="Liberation Serif" w:hAnsi="Liberation Serif" w:cs="Liberation Serif"/>
          <w:sz w:val="24"/>
          <w:szCs w:val="24"/>
        </w:rPr>
      </w:pPr>
    </w:p>
    <w:sectPr w:rsidR="00267F81">
      <w:footerReference w:type="even" r:id="rId25"/>
      <w:footerReference w:type="default" r:id="rId26"/>
      <w:headerReference w:type="first" r:id="rId27"/>
      <w:pgSz w:w="16838" w:h="11906" w:orient="landscape"/>
      <w:pgMar w:top="1351" w:right="822" w:bottom="57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239" w:rsidRDefault="00592239">
      <w:r>
        <w:separator/>
      </w:r>
    </w:p>
  </w:endnote>
  <w:endnote w:type="continuationSeparator" w:id="0">
    <w:p w:rsidR="00592239" w:rsidRDefault="0059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F81" w:rsidRDefault="00592239">
    <w:pPr>
      <w:pStyle w:val="ac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267F81" w:rsidRDefault="00267F8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F81" w:rsidRDefault="00592239">
    <w:pPr>
      <w:pStyle w:val="ac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separate"/>
    </w:r>
    <w:r>
      <w:rPr>
        <w:rStyle w:val="aff2"/>
      </w:rPr>
      <w:t>10</w:t>
    </w:r>
    <w:r>
      <w:rPr>
        <w:rStyle w:val="aff2"/>
      </w:rPr>
      <w:fldChar w:fldCharType="end"/>
    </w:r>
  </w:p>
  <w:p w:rsidR="00267F81" w:rsidRDefault="00267F8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239" w:rsidRDefault="00592239">
      <w:r>
        <w:separator/>
      </w:r>
    </w:p>
  </w:footnote>
  <w:footnote w:type="continuationSeparator" w:id="0">
    <w:p w:rsidR="00592239" w:rsidRDefault="0059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F81" w:rsidRDefault="00592239">
    <w:pPr>
      <w:pStyle w:val="aa"/>
      <w:jc w:val="center"/>
    </w:pPr>
    <w:r>
      <w:rPr>
        <w:rFonts w:ascii="Tahoma" w:hAnsi="Tahoma" w:cs="Tahoma"/>
        <w:noProof/>
      </w:rPr>
      <w:drawing>
        <wp:inline distT="0" distB="0" distL="0" distR="0">
          <wp:extent cx="3312008" cy="615506"/>
          <wp:effectExtent l="0" t="0" r="0" b="0"/>
          <wp:docPr id="1" name="_x0000_i1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312008" cy="615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5075"/>
    <w:multiLevelType w:val="hybridMultilevel"/>
    <w:tmpl w:val="B4E8DF94"/>
    <w:lvl w:ilvl="0" w:tplc="BCCC58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7D0E0AA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 w:tplc="2ECEF5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E05A72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B26E78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 w:tplc="FF6A3BD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7EC354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1F88FCC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 w:tplc="DE52725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4AD1535"/>
    <w:multiLevelType w:val="hybridMultilevel"/>
    <w:tmpl w:val="725CC7DE"/>
    <w:lvl w:ilvl="0" w:tplc="361E80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CE3A386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0427C4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AD89C8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B3E066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292A72D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9F05A4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ECABFE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D84D42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B526B23"/>
    <w:multiLevelType w:val="hybridMultilevel"/>
    <w:tmpl w:val="DF7AD636"/>
    <w:lvl w:ilvl="0" w:tplc="5A409BAE">
      <w:start w:val="1"/>
      <w:numFmt w:val="bullet"/>
      <w:lvlText w:val="-"/>
      <w:lvlJc w:val="left"/>
    </w:lvl>
    <w:lvl w:ilvl="1" w:tplc="0CFEB7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88E3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2631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2AE9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5E69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8822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5CFA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6066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0720EE4"/>
    <w:multiLevelType w:val="multilevel"/>
    <w:tmpl w:val="34E49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108A328F"/>
    <w:multiLevelType w:val="hybridMultilevel"/>
    <w:tmpl w:val="C1F8E502"/>
    <w:lvl w:ilvl="0" w:tplc="42901138">
      <w:start w:val="1"/>
      <w:numFmt w:val="bullet"/>
      <w:lvlText w:val=""/>
      <w:lvlJc w:val="left"/>
      <w:pPr>
        <w:ind w:left="1425" w:hanging="360"/>
      </w:pPr>
      <w:rPr>
        <w:rFonts w:ascii="Symbol" w:hAnsi="Symbol"/>
      </w:rPr>
    </w:lvl>
    <w:lvl w:ilvl="1" w:tplc="FD36A19C">
      <w:start w:val="1"/>
      <w:numFmt w:val="bullet"/>
      <w:lvlText w:val="o"/>
      <w:lvlJc w:val="left"/>
      <w:pPr>
        <w:ind w:left="2145" w:hanging="360"/>
      </w:pPr>
      <w:rPr>
        <w:rFonts w:ascii="Courier New" w:hAnsi="Courier New"/>
      </w:rPr>
    </w:lvl>
    <w:lvl w:ilvl="2" w:tplc="4FE0D602">
      <w:start w:val="1"/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 w:tplc="8B607BAE">
      <w:start w:val="1"/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 w:tplc="524A7202">
      <w:start w:val="1"/>
      <w:numFmt w:val="bullet"/>
      <w:lvlText w:val="o"/>
      <w:lvlJc w:val="left"/>
      <w:pPr>
        <w:ind w:left="4305" w:hanging="360"/>
      </w:pPr>
      <w:rPr>
        <w:rFonts w:ascii="Courier New" w:hAnsi="Courier New"/>
      </w:rPr>
    </w:lvl>
    <w:lvl w:ilvl="5" w:tplc="1EDC33EE">
      <w:start w:val="1"/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 w:tplc="A0CA170A">
      <w:start w:val="1"/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 w:tplc="4D8C5A34">
      <w:start w:val="1"/>
      <w:numFmt w:val="bullet"/>
      <w:lvlText w:val="o"/>
      <w:lvlJc w:val="left"/>
      <w:pPr>
        <w:ind w:left="6465" w:hanging="360"/>
      </w:pPr>
      <w:rPr>
        <w:rFonts w:ascii="Courier New" w:hAnsi="Courier New"/>
      </w:rPr>
    </w:lvl>
    <w:lvl w:ilvl="8" w:tplc="0018FD68">
      <w:start w:val="1"/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5" w15:restartNumberingAfterBreak="0">
    <w:nsid w:val="182F79F8"/>
    <w:multiLevelType w:val="hybridMultilevel"/>
    <w:tmpl w:val="F0D0EB2E"/>
    <w:lvl w:ilvl="0" w:tplc="0690448E">
      <w:start w:val="1"/>
      <w:numFmt w:val="decimal"/>
      <w:lvlText w:val="%1."/>
      <w:lvlJc w:val="left"/>
    </w:lvl>
    <w:lvl w:ilvl="1" w:tplc="74541BD6">
      <w:start w:val="1"/>
      <w:numFmt w:val="lowerLetter"/>
      <w:lvlText w:val="%2."/>
      <w:lvlJc w:val="left"/>
    </w:lvl>
    <w:lvl w:ilvl="2" w:tplc="460EF464">
      <w:start w:val="1"/>
      <w:numFmt w:val="lowerRoman"/>
      <w:lvlText w:val="%3."/>
      <w:lvlJc w:val="left"/>
    </w:lvl>
    <w:lvl w:ilvl="3" w:tplc="5768B008">
      <w:start w:val="1"/>
      <w:numFmt w:val="decimal"/>
      <w:lvlText w:val="%4."/>
      <w:lvlJc w:val="left"/>
    </w:lvl>
    <w:lvl w:ilvl="4" w:tplc="93607750">
      <w:start w:val="1"/>
      <w:numFmt w:val="lowerLetter"/>
      <w:lvlText w:val="%5."/>
      <w:lvlJc w:val="left"/>
    </w:lvl>
    <w:lvl w:ilvl="5" w:tplc="D8F82F04">
      <w:start w:val="1"/>
      <w:numFmt w:val="lowerRoman"/>
      <w:lvlText w:val="%6."/>
      <w:lvlJc w:val="left"/>
    </w:lvl>
    <w:lvl w:ilvl="6" w:tplc="18781CAA">
      <w:start w:val="1"/>
      <w:numFmt w:val="decimal"/>
      <w:lvlText w:val="%7."/>
      <w:lvlJc w:val="left"/>
    </w:lvl>
    <w:lvl w:ilvl="7" w:tplc="E542B52A">
      <w:start w:val="1"/>
      <w:numFmt w:val="lowerLetter"/>
      <w:lvlText w:val="%8."/>
      <w:lvlJc w:val="left"/>
    </w:lvl>
    <w:lvl w:ilvl="8" w:tplc="AA3AFE6E">
      <w:start w:val="1"/>
      <w:numFmt w:val="lowerRoman"/>
      <w:lvlText w:val="%9."/>
      <w:lvlJc w:val="left"/>
    </w:lvl>
  </w:abstractNum>
  <w:abstractNum w:abstractNumId="6" w15:restartNumberingAfterBreak="0">
    <w:nsid w:val="1DE629B5"/>
    <w:multiLevelType w:val="hybridMultilevel"/>
    <w:tmpl w:val="6E74F51C"/>
    <w:lvl w:ilvl="0" w:tplc="B484B794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1" w:tplc="356C0202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/>
      </w:rPr>
    </w:lvl>
    <w:lvl w:ilvl="2" w:tplc="7FD6B994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/>
      </w:rPr>
    </w:lvl>
    <w:lvl w:ilvl="3" w:tplc="00CE2740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/>
      </w:rPr>
    </w:lvl>
    <w:lvl w:ilvl="4" w:tplc="2340ADC2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/>
      </w:rPr>
    </w:lvl>
    <w:lvl w:ilvl="5" w:tplc="71EA88CA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/>
      </w:rPr>
    </w:lvl>
    <w:lvl w:ilvl="6" w:tplc="1736CA4C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/>
      </w:rPr>
    </w:lvl>
    <w:lvl w:ilvl="7" w:tplc="720A5920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/>
      </w:rPr>
    </w:lvl>
    <w:lvl w:ilvl="8" w:tplc="8856DE2E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/>
      </w:rPr>
    </w:lvl>
  </w:abstractNum>
  <w:abstractNum w:abstractNumId="7" w15:restartNumberingAfterBreak="0">
    <w:nsid w:val="1E0C6F74"/>
    <w:multiLevelType w:val="hybridMultilevel"/>
    <w:tmpl w:val="29E0D094"/>
    <w:lvl w:ilvl="0" w:tplc="7146E462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19F29718">
      <w:start w:val="1"/>
      <w:numFmt w:val="lowerLetter"/>
      <w:lvlText w:val="%2."/>
      <w:lvlJc w:val="left"/>
      <w:pPr>
        <w:tabs>
          <w:tab w:val="num" w:pos="2050"/>
        </w:tabs>
        <w:ind w:left="2050" w:hanging="360"/>
      </w:pPr>
    </w:lvl>
    <w:lvl w:ilvl="2" w:tplc="E4DEC9E6">
      <w:start w:val="1"/>
      <w:numFmt w:val="lowerRoman"/>
      <w:lvlText w:val="%3."/>
      <w:lvlJc w:val="right"/>
      <w:pPr>
        <w:tabs>
          <w:tab w:val="num" w:pos="2770"/>
        </w:tabs>
        <w:ind w:left="2770" w:hanging="180"/>
      </w:pPr>
    </w:lvl>
    <w:lvl w:ilvl="3" w:tplc="1DAA8C9C">
      <w:start w:val="1"/>
      <w:numFmt w:val="decimal"/>
      <w:lvlText w:val="%4."/>
      <w:lvlJc w:val="left"/>
      <w:pPr>
        <w:tabs>
          <w:tab w:val="num" w:pos="3490"/>
        </w:tabs>
        <w:ind w:left="3490" w:hanging="360"/>
      </w:pPr>
    </w:lvl>
    <w:lvl w:ilvl="4" w:tplc="C1183CD8">
      <w:start w:val="1"/>
      <w:numFmt w:val="lowerLetter"/>
      <w:lvlText w:val="%5."/>
      <w:lvlJc w:val="left"/>
      <w:pPr>
        <w:tabs>
          <w:tab w:val="num" w:pos="4210"/>
        </w:tabs>
        <w:ind w:left="4210" w:hanging="360"/>
      </w:pPr>
    </w:lvl>
    <w:lvl w:ilvl="5" w:tplc="95485B26">
      <w:start w:val="1"/>
      <w:numFmt w:val="lowerRoman"/>
      <w:lvlText w:val="%6."/>
      <w:lvlJc w:val="right"/>
      <w:pPr>
        <w:tabs>
          <w:tab w:val="num" w:pos="4930"/>
        </w:tabs>
        <w:ind w:left="4930" w:hanging="180"/>
      </w:pPr>
    </w:lvl>
    <w:lvl w:ilvl="6" w:tplc="31FC15F0">
      <w:start w:val="1"/>
      <w:numFmt w:val="decimal"/>
      <w:lvlText w:val="%7."/>
      <w:lvlJc w:val="left"/>
      <w:pPr>
        <w:tabs>
          <w:tab w:val="num" w:pos="5650"/>
        </w:tabs>
        <w:ind w:left="5650" w:hanging="360"/>
      </w:pPr>
    </w:lvl>
    <w:lvl w:ilvl="7" w:tplc="E9560B48">
      <w:start w:val="1"/>
      <w:numFmt w:val="lowerLetter"/>
      <w:lvlText w:val="%8."/>
      <w:lvlJc w:val="left"/>
      <w:pPr>
        <w:tabs>
          <w:tab w:val="num" w:pos="6370"/>
        </w:tabs>
        <w:ind w:left="6370" w:hanging="360"/>
      </w:pPr>
    </w:lvl>
    <w:lvl w:ilvl="8" w:tplc="37BED952">
      <w:start w:val="1"/>
      <w:numFmt w:val="lowerRoman"/>
      <w:lvlText w:val="%9."/>
      <w:lvlJc w:val="right"/>
      <w:pPr>
        <w:tabs>
          <w:tab w:val="num" w:pos="7090"/>
        </w:tabs>
        <w:ind w:left="7090" w:hanging="180"/>
      </w:pPr>
    </w:lvl>
  </w:abstractNum>
  <w:abstractNum w:abstractNumId="8" w15:restartNumberingAfterBreak="0">
    <w:nsid w:val="24DD6CBC"/>
    <w:multiLevelType w:val="hybridMultilevel"/>
    <w:tmpl w:val="4BF20FAE"/>
    <w:lvl w:ilvl="0" w:tplc="CAF8140E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C748BB6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434C2126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FB74354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2A76719E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27FEB2E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E8F48562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8DA094C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B616FA8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7582475"/>
    <w:multiLevelType w:val="hybridMultilevel"/>
    <w:tmpl w:val="CF428BCC"/>
    <w:lvl w:ilvl="0" w:tplc="941EDFFA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/>
      </w:rPr>
    </w:lvl>
    <w:lvl w:ilvl="1" w:tplc="FA9822D8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/>
      </w:rPr>
    </w:lvl>
    <w:lvl w:ilvl="2" w:tplc="2BA831EE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D2662A92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8770575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/>
      </w:rPr>
    </w:lvl>
    <w:lvl w:ilvl="5" w:tplc="97340EEC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B79EA4A4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A120DD70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/>
      </w:rPr>
    </w:lvl>
    <w:lvl w:ilvl="8" w:tplc="A4F84C74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10" w15:restartNumberingAfterBreak="0">
    <w:nsid w:val="2D9B44EB"/>
    <w:multiLevelType w:val="hybridMultilevel"/>
    <w:tmpl w:val="44DC2398"/>
    <w:lvl w:ilvl="0" w:tplc="01241D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084F57A">
      <w:start w:val="1"/>
      <w:numFmt w:val="lowerLetter"/>
      <w:lvlText w:val="%2."/>
      <w:lvlJc w:val="left"/>
      <w:pPr>
        <w:tabs>
          <w:tab w:val="num" w:pos="2050"/>
        </w:tabs>
        <w:ind w:left="2050" w:hanging="360"/>
      </w:pPr>
    </w:lvl>
    <w:lvl w:ilvl="2" w:tplc="00528210">
      <w:start w:val="1"/>
      <w:numFmt w:val="lowerRoman"/>
      <w:lvlText w:val="%3."/>
      <w:lvlJc w:val="right"/>
      <w:pPr>
        <w:tabs>
          <w:tab w:val="num" w:pos="2770"/>
        </w:tabs>
        <w:ind w:left="2770" w:hanging="180"/>
      </w:pPr>
    </w:lvl>
    <w:lvl w:ilvl="3" w:tplc="1D465D96">
      <w:start w:val="1"/>
      <w:numFmt w:val="decimal"/>
      <w:lvlText w:val="%4."/>
      <w:lvlJc w:val="left"/>
      <w:pPr>
        <w:tabs>
          <w:tab w:val="num" w:pos="3490"/>
        </w:tabs>
        <w:ind w:left="3490" w:hanging="360"/>
      </w:pPr>
    </w:lvl>
    <w:lvl w:ilvl="4" w:tplc="A47EF5A4">
      <w:start w:val="1"/>
      <w:numFmt w:val="lowerLetter"/>
      <w:lvlText w:val="%5."/>
      <w:lvlJc w:val="left"/>
      <w:pPr>
        <w:tabs>
          <w:tab w:val="num" w:pos="4210"/>
        </w:tabs>
        <w:ind w:left="4210" w:hanging="360"/>
      </w:pPr>
    </w:lvl>
    <w:lvl w:ilvl="5" w:tplc="21FE6DA2">
      <w:start w:val="1"/>
      <w:numFmt w:val="lowerRoman"/>
      <w:lvlText w:val="%6."/>
      <w:lvlJc w:val="right"/>
      <w:pPr>
        <w:tabs>
          <w:tab w:val="num" w:pos="4930"/>
        </w:tabs>
        <w:ind w:left="4930" w:hanging="180"/>
      </w:pPr>
    </w:lvl>
    <w:lvl w:ilvl="6" w:tplc="7AB862DA">
      <w:start w:val="1"/>
      <w:numFmt w:val="decimal"/>
      <w:lvlText w:val="%7."/>
      <w:lvlJc w:val="left"/>
      <w:pPr>
        <w:tabs>
          <w:tab w:val="num" w:pos="5650"/>
        </w:tabs>
        <w:ind w:left="5650" w:hanging="360"/>
      </w:pPr>
    </w:lvl>
    <w:lvl w:ilvl="7" w:tplc="D9DA36C8">
      <w:start w:val="1"/>
      <w:numFmt w:val="lowerLetter"/>
      <w:lvlText w:val="%8."/>
      <w:lvlJc w:val="left"/>
      <w:pPr>
        <w:tabs>
          <w:tab w:val="num" w:pos="6370"/>
        </w:tabs>
        <w:ind w:left="6370" w:hanging="360"/>
      </w:pPr>
    </w:lvl>
    <w:lvl w:ilvl="8" w:tplc="0FFA3D3A">
      <w:start w:val="1"/>
      <w:numFmt w:val="lowerRoman"/>
      <w:lvlText w:val="%9."/>
      <w:lvlJc w:val="right"/>
      <w:pPr>
        <w:tabs>
          <w:tab w:val="num" w:pos="7090"/>
        </w:tabs>
        <w:ind w:left="7090" w:hanging="180"/>
      </w:pPr>
    </w:lvl>
  </w:abstractNum>
  <w:abstractNum w:abstractNumId="11" w15:restartNumberingAfterBreak="0">
    <w:nsid w:val="2E0E09A2"/>
    <w:multiLevelType w:val="hybridMultilevel"/>
    <w:tmpl w:val="88F837F0"/>
    <w:lvl w:ilvl="0" w:tplc="7F7A0A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50640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B7656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73E0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E89B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DA449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B824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8C51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05478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30100BB5"/>
    <w:multiLevelType w:val="hybridMultilevel"/>
    <w:tmpl w:val="A376553E"/>
    <w:lvl w:ilvl="0" w:tplc="864CBC06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 w:tplc="A598570E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387A08F0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34285C5A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49860758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18EEA6F0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F8D0E97C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EF2647B2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CDB05A7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3" w15:restartNumberingAfterBreak="0">
    <w:nsid w:val="34433DD9"/>
    <w:multiLevelType w:val="hybridMultilevel"/>
    <w:tmpl w:val="DFC8B574"/>
    <w:lvl w:ilvl="0" w:tplc="91B43B9C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62361AC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3FEA552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CF3CE0A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3B64D2F2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4A843E5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6FE6567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BE7AD1C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3A4868E6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35302F78"/>
    <w:multiLevelType w:val="hybridMultilevel"/>
    <w:tmpl w:val="98C43626"/>
    <w:lvl w:ilvl="0" w:tplc="A0FC4B40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/>
      </w:rPr>
    </w:lvl>
    <w:lvl w:ilvl="1" w:tplc="2512A37A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/>
      </w:rPr>
    </w:lvl>
    <w:lvl w:ilvl="2" w:tplc="F112069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921CA766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834A21B2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/>
      </w:rPr>
    </w:lvl>
    <w:lvl w:ilvl="5" w:tplc="2A1AAE5E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E7D69EB4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F11C7884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/>
      </w:rPr>
    </w:lvl>
    <w:lvl w:ilvl="8" w:tplc="C8F2630C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15" w15:restartNumberingAfterBreak="0">
    <w:nsid w:val="38E97900"/>
    <w:multiLevelType w:val="hybridMultilevel"/>
    <w:tmpl w:val="92FC7C2E"/>
    <w:lvl w:ilvl="0" w:tplc="74B2633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1" w:tplc="7B40EA5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D3B8C91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B996285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046E352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7D28C8BA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2230F25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781EAF9A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3F2027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6" w15:restartNumberingAfterBreak="0">
    <w:nsid w:val="394C4925"/>
    <w:multiLevelType w:val="hybridMultilevel"/>
    <w:tmpl w:val="A18C1E10"/>
    <w:lvl w:ilvl="0" w:tplc="9A368D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2B425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D1CF8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589A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E025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3A43E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2CBF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33A6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C4F467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B45F0F"/>
    <w:multiLevelType w:val="hybridMultilevel"/>
    <w:tmpl w:val="2CA8A152"/>
    <w:lvl w:ilvl="0" w:tplc="6D967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1120C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0E65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4819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7E9D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0E653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907B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5CEC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A948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43544247"/>
    <w:multiLevelType w:val="hybridMultilevel"/>
    <w:tmpl w:val="A38A55A8"/>
    <w:lvl w:ilvl="0" w:tplc="8EBC370C">
      <w:start w:val="1"/>
      <w:numFmt w:val="decimal"/>
      <w:lvlText w:val="%1."/>
      <w:lvlJc w:val="left"/>
    </w:lvl>
    <w:lvl w:ilvl="1" w:tplc="31304CEA">
      <w:start w:val="1"/>
      <w:numFmt w:val="lowerLetter"/>
      <w:lvlText w:val="%2."/>
      <w:lvlJc w:val="left"/>
    </w:lvl>
    <w:lvl w:ilvl="2" w:tplc="2FC89A90">
      <w:start w:val="1"/>
      <w:numFmt w:val="lowerRoman"/>
      <w:lvlText w:val="%3."/>
      <w:lvlJc w:val="left"/>
    </w:lvl>
    <w:lvl w:ilvl="3" w:tplc="18409B12">
      <w:start w:val="1"/>
      <w:numFmt w:val="decimal"/>
      <w:lvlText w:val="%4."/>
      <w:lvlJc w:val="left"/>
    </w:lvl>
    <w:lvl w:ilvl="4" w:tplc="9B50CD3C">
      <w:start w:val="1"/>
      <w:numFmt w:val="lowerLetter"/>
      <w:lvlText w:val="%5."/>
      <w:lvlJc w:val="left"/>
    </w:lvl>
    <w:lvl w:ilvl="5" w:tplc="2D7651AA">
      <w:start w:val="1"/>
      <w:numFmt w:val="lowerRoman"/>
      <w:lvlText w:val="%6."/>
      <w:lvlJc w:val="left"/>
    </w:lvl>
    <w:lvl w:ilvl="6" w:tplc="650870B2">
      <w:start w:val="1"/>
      <w:numFmt w:val="decimal"/>
      <w:lvlText w:val="%7."/>
      <w:lvlJc w:val="left"/>
    </w:lvl>
    <w:lvl w:ilvl="7" w:tplc="FF8A0592">
      <w:start w:val="1"/>
      <w:numFmt w:val="lowerLetter"/>
      <w:lvlText w:val="%8."/>
      <w:lvlJc w:val="left"/>
    </w:lvl>
    <w:lvl w:ilvl="8" w:tplc="33F0EAF0">
      <w:start w:val="1"/>
      <w:numFmt w:val="lowerRoman"/>
      <w:lvlText w:val="%9."/>
      <w:lvlJc w:val="left"/>
    </w:lvl>
  </w:abstractNum>
  <w:abstractNum w:abstractNumId="19" w15:restartNumberingAfterBreak="0">
    <w:nsid w:val="481E59CB"/>
    <w:multiLevelType w:val="hybridMultilevel"/>
    <w:tmpl w:val="259077E8"/>
    <w:lvl w:ilvl="0" w:tplc="A02AD75C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8D2400A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C5BA1DDA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A3849A92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43CAF5C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212CFBD0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101688D6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FE580FA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D8B8A4C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9B0720"/>
    <w:multiLevelType w:val="hybridMultilevel"/>
    <w:tmpl w:val="229892DE"/>
    <w:lvl w:ilvl="0" w:tplc="BBB0EBE2">
      <w:start w:val="1"/>
      <w:numFmt w:val="decimal"/>
      <w:lvlText w:val="%1."/>
      <w:lvlJc w:val="left"/>
      <w:pPr>
        <w:ind w:left="1069" w:hanging="360"/>
      </w:pPr>
    </w:lvl>
    <w:lvl w:ilvl="1" w:tplc="D130DA7E">
      <w:start w:val="1"/>
      <w:numFmt w:val="lowerLetter"/>
      <w:lvlText w:val="%2."/>
      <w:lvlJc w:val="left"/>
      <w:pPr>
        <w:ind w:left="1789" w:hanging="360"/>
      </w:pPr>
    </w:lvl>
    <w:lvl w:ilvl="2" w:tplc="D02E2B60">
      <w:start w:val="1"/>
      <w:numFmt w:val="lowerRoman"/>
      <w:lvlText w:val="%3."/>
      <w:lvlJc w:val="right"/>
      <w:pPr>
        <w:ind w:left="2509" w:hanging="180"/>
      </w:pPr>
    </w:lvl>
    <w:lvl w:ilvl="3" w:tplc="72580F0C">
      <w:start w:val="1"/>
      <w:numFmt w:val="decimal"/>
      <w:lvlText w:val="%4."/>
      <w:lvlJc w:val="left"/>
      <w:pPr>
        <w:ind w:left="3229" w:hanging="360"/>
      </w:pPr>
    </w:lvl>
    <w:lvl w:ilvl="4" w:tplc="94EC9D66">
      <w:start w:val="1"/>
      <w:numFmt w:val="lowerLetter"/>
      <w:lvlText w:val="%5."/>
      <w:lvlJc w:val="left"/>
      <w:pPr>
        <w:ind w:left="3949" w:hanging="360"/>
      </w:pPr>
    </w:lvl>
    <w:lvl w:ilvl="5" w:tplc="EEF0F2F2">
      <w:start w:val="1"/>
      <w:numFmt w:val="lowerRoman"/>
      <w:lvlText w:val="%6."/>
      <w:lvlJc w:val="right"/>
      <w:pPr>
        <w:ind w:left="4669" w:hanging="180"/>
      </w:pPr>
    </w:lvl>
    <w:lvl w:ilvl="6" w:tplc="C406998C">
      <w:start w:val="1"/>
      <w:numFmt w:val="decimal"/>
      <w:lvlText w:val="%7."/>
      <w:lvlJc w:val="left"/>
      <w:pPr>
        <w:ind w:left="5389" w:hanging="360"/>
      </w:pPr>
    </w:lvl>
    <w:lvl w:ilvl="7" w:tplc="35DA45B8">
      <w:start w:val="1"/>
      <w:numFmt w:val="lowerLetter"/>
      <w:lvlText w:val="%8."/>
      <w:lvlJc w:val="left"/>
      <w:pPr>
        <w:ind w:left="6109" w:hanging="360"/>
      </w:pPr>
    </w:lvl>
    <w:lvl w:ilvl="8" w:tplc="FF3A05CA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D4710D"/>
    <w:multiLevelType w:val="hybridMultilevel"/>
    <w:tmpl w:val="B0AE8AE8"/>
    <w:lvl w:ilvl="0" w:tplc="552A8BD0">
      <w:start w:val="1"/>
      <w:numFmt w:val="bullet"/>
      <w:lvlText w:val=""/>
      <w:lvlJc w:val="left"/>
      <w:pPr>
        <w:tabs>
          <w:tab w:val="num" w:pos="1307"/>
        </w:tabs>
        <w:ind w:left="1324" w:hanging="397"/>
      </w:pPr>
      <w:rPr>
        <w:rFonts w:ascii="Symbol" w:hAnsi="Symbol"/>
        <w:color w:val="000000"/>
      </w:rPr>
    </w:lvl>
    <w:lvl w:ilvl="1" w:tplc="4232D782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 w:tplc="2B08512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 w:tplc="C172E800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 w:tplc="CD3C0FF2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 w:tplc="1F205D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 w:tplc="D77C382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 w:tplc="8012986C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 w:tplc="E5521EAE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22" w15:restartNumberingAfterBreak="0">
    <w:nsid w:val="54A159F0"/>
    <w:multiLevelType w:val="hybridMultilevel"/>
    <w:tmpl w:val="0AF0FD6A"/>
    <w:lvl w:ilvl="0" w:tplc="8F54347C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F66A043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9D22CC22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BCDA78C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3750426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B510DDA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B840FDE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CE50630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6B6C69F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51253BA"/>
    <w:multiLevelType w:val="hybridMultilevel"/>
    <w:tmpl w:val="98C0A8FA"/>
    <w:lvl w:ilvl="0" w:tplc="FE826762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85CEA69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6A6ABDE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585A0166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E5A4638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8D324C3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71A06F24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20E2EAE8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6984787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7465CD4"/>
    <w:multiLevelType w:val="hybridMultilevel"/>
    <w:tmpl w:val="0E960C9E"/>
    <w:lvl w:ilvl="0" w:tplc="526C5318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3E862E82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9894CAFA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5252944A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862CB1A6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AE70B186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125CAF0C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DAAA663C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69AC6124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BCD05F8"/>
    <w:multiLevelType w:val="hybridMultilevel"/>
    <w:tmpl w:val="3DB00ED2"/>
    <w:lvl w:ilvl="0" w:tplc="D002981A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9B407BE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3B64C262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B5A038B4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B8148B14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E9AE5B7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6DFA7E8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94C8271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94AC2538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60BA77BB"/>
    <w:multiLevelType w:val="hybridMultilevel"/>
    <w:tmpl w:val="0E2268DC"/>
    <w:lvl w:ilvl="0" w:tplc="26E232EE">
      <w:start w:val="1"/>
      <w:numFmt w:val="bullet"/>
      <w:lvlText w:val=""/>
      <w:lvlJc w:val="left"/>
      <w:pPr>
        <w:tabs>
          <w:tab w:val="num" w:pos="1460"/>
        </w:tabs>
        <w:ind w:left="1477" w:hanging="397"/>
      </w:pPr>
      <w:rPr>
        <w:rFonts w:ascii="Symbol" w:hAnsi="Symbol"/>
        <w:color w:val="000000"/>
      </w:rPr>
    </w:lvl>
    <w:lvl w:ilvl="1" w:tplc="5AE453D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FC4A4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9490C4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DD3E3DB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665E99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4F881C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587854F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AAFC06A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7" w15:restartNumberingAfterBreak="0">
    <w:nsid w:val="658D1A4E"/>
    <w:multiLevelType w:val="hybridMultilevel"/>
    <w:tmpl w:val="A0508C44"/>
    <w:lvl w:ilvl="0" w:tplc="7FDA4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34265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DA00E3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867C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C824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DFE54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443E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BA62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F928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65A12811"/>
    <w:multiLevelType w:val="hybridMultilevel"/>
    <w:tmpl w:val="92BA58C4"/>
    <w:lvl w:ilvl="0" w:tplc="DF4AD1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0D608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266F8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CA52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9CC8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1307F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30CE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2E0F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57812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68014BCA"/>
    <w:multiLevelType w:val="hybridMultilevel"/>
    <w:tmpl w:val="AB8A6768"/>
    <w:lvl w:ilvl="0" w:tplc="67F2222C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/>
      </w:rPr>
    </w:lvl>
    <w:lvl w:ilvl="1" w:tplc="56FEE1A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5406DDD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6DA6D7F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5666E91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1BAABF4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A3EC0CC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B9360478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E3220A8A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30" w15:restartNumberingAfterBreak="0">
    <w:nsid w:val="7D52050F"/>
    <w:multiLevelType w:val="hybridMultilevel"/>
    <w:tmpl w:val="6E0ADF84"/>
    <w:lvl w:ilvl="0" w:tplc="6002AC14">
      <w:start w:val="1"/>
      <w:numFmt w:val="bullet"/>
      <w:lvlText w:val="­"/>
      <w:lvlJc w:val="left"/>
      <w:rPr>
        <w:rFonts w:ascii="Courier New" w:hAnsi="Courier New" w:cs="Courier New"/>
        <w:sz w:val="24"/>
        <w:szCs w:val="24"/>
      </w:rPr>
    </w:lvl>
    <w:lvl w:ilvl="1" w:tplc="E8769B8A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2" w:tplc="825EB212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3" w:tplc="F41A1AA8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4" w:tplc="10560422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5" w:tplc="08DA003E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  <w:lvl w:ilvl="6" w:tplc="B50401A2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7" w:tplc="181AFD30">
      <w:start w:val="1"/>
      <w:numFmt w:val="bullet"/>
      <w:lvlText w:val="o"/>
      <w:lvlJc w:val="left"/>
      <w:rPr>
        <w:rFonts w:ascii="Courier New" w:hAnsi="Courier New" w:cs="Courier New"/>
        <w:sz w:val="24"/>
        <w:szCs w:val="24"/>
      </w:rPr>
    </w:lvl>
    <w:lvl w:ilvl="8" w:tplc="E104D78C">
      <w:start w:val="1"/>
      <w:numFmt w:val="bullet"/>
      <w:lvlText w:val="§"/>
      <w:lvlJc w:val="left"/>
      <w:rPr>
        <w:rFonts w:ascii="Times New Roman" w:hAnsi="Times New Roman" w:cs="Times New Roman"/>
        <w:sz w:val="24"/>
        <w:szCs w:val="24"/>
      </w:r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22"/>
  </w:num>
  <w:num w:numId="7">
    <w:abstractNumId w:val="23"/>
  </w:num>
  <w:num w:numId="8">
    <w:abstractNumId w:val="13"/>
  </w:num>
  <w:num w:numId="9">
    <w:abstractNumId w:val="19"/>
  </w:num>
  <w:num w:numId="10">
    <w:abstractNumId w:val="30"/>
  </w:num>
  <w:num w:numId="11">
    <w:abstractNumId w:val="25"/>
  </w:num>
  <w:num w:numId="12">
    <w:abstractNumId w:val="8"/>
  </w:num>
  <w:num w:numId="13">
    <w:abstractNumId w:val="24"/>
  </w:num>
  <w:num w:numId="14">
    <w:abstractNumId w:val="9"/>
  </w:num>
  <w:num w:numId="15">
    <w:abstractNumId w:val="14"/>
  </w:num>
  <w:num w:numId="16">
    <w:abstractNumId w:val="28"/>
  </w:num>
  <w:num w:numId="17">
    <w:abstractNumId w:val="11"/>
  </w:num>
  <w:num w:numId="18">
    <w:abstractNumId w:val="17"/>
  </w:num>
  <w:num w:numId="19">
    <w:abstractNumId w:val="7"/>
  </w:num>
  <w:num w:numId="20">
    <w:abstractNumId w:val="26"/>
  </w:num>
  <w:num w:numId="21">
    <w:abstractNumId w:val="21"/>
  </w:num>
  <w:num w:numId="22">
    <w:abstractNumId w:val="0"/>
  </w:num>
  <w:num w:numId="23">
    <w:abstractNumId w:val="16"/>
  </w:num>
  <w:num w:numId="24">
    <w:abstractNumId w:val="10"/>
  </w:num>
  <w:num w:numId="25">
    <w:abstractNumId w:val="27"/>
  </w:num>
  <w:num w:numId="26">
    <w:abstractNumId w:val="6"/>
  </w:num>
  <w:num w:numId="27">
    <w:abstractNumId w:val="29"/>
  </w:num>
  <w:num w:numId="28">
    <w:abstractNumId w:val="20"/>
  </w:num>
  <w:num w:numId="29">
    <w:abstractNumId w:val="4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F81"/>
    <w:rsid w:val="000E71BB"/>
    <w:rsid w:val="00267F81"/>
    <w:rsid w:val="0059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233D1-525B-4C8F-B218-539A86F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link w:val="12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afb">
    <w:name w:val="Знак"/>
    <w:basedOn w:val="a"/>
    <w:pPr>
      <w:widowControl/>
      <w:tabs>
        <w:tab w:val="num" w:pos="390"/>
      </w:tabs>
      <w:spacing w:after="160" w:line="240" w:lineRule="exact"/>
      <w:ind w:left="390" w:hanging="390"/>
    </w:pPr>
    <w:rPr>
      <w:rFonts w:ascii="Verdana" w:hAnsi="Verdana"/>
      <w:lang w:val="en-US" w:eastAsia="en-US"/>
    </w:rPr>
  </w:style>
  <w:style w:type="paragraph" w:styleId="afc">
    <w:name w:val="Body Text Indent"/>
    <w:basedOn w:val="a"/>
    <w:pPr>
      <w:widowControl/>
      <w:ind w:right="-1" w:firstLine="567"/>
    </w:pPr>
    <w:rPr>
      <w:rFonts w:ascii="Times New Roman" w:hAnsi="Times New Roman" w:cs="Times New Roman"/>
    </w:rPr>
  </w:style>
  <w:style w:type="paragraph" w:styleId="afd">
    <w:name w:val="Body Text"/>
    <w:basedOn w:val="a"/>
    <w:link w:val="afe"/>
    <w:pPr>
      <w:widowControl/>
      <w:spacing w:after="120"/>
      <w:ind w:firstLine="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ubHeading">
    <w:name w:val="Sub Heading"/>
    <w:pPr>
      <w:widowControl w:val="0"/>
      <w:spacing w:before="240" w:after="40"/>
    </w:pPr>
    <w:rPr>
      <w:lang w:eastAsia="ru-RU"/>
    </w:rPr>
  </w:style>
  <w:style w:type="paragraph" w:customStyle="1" w:styleId="ThinDelim">
    <w:name w:val="Thin Delim"/>
    <w:pPr>
      <w:widowControl w:val="0"/>
    </w:pPr>
    <w:rPr>
      <w:sz w:val="16"/>
      <w:szCs w:val="16"/>
      <w:lang w:eastAsia="ru-RU"/>
    </w:rPr>
  </w:style>
  <w:style w:type="paragraph" w:customStyle="1" w:styleId="DefaultParagraphFontParaCharChar">
    <w:name w:val="Default Paragraph Font Para Char Char Знак"/>
    <w:basedOn w:val="a"/>
    <w:pPr>
      <w:widowControl/>
      <w:spacing w:after="160" w:line="240" w:lineRule="exact"/>
      <w:ind w:firstLine="0"/>
    </w:pPr>
    <w:rPr>
      <w:rFonts w:ascii="Verdana" w:hAnsi="Verdana" w:cs="Verdana"/>
      <w:lang w:val="en-US" w:eastAsia="en-US"/>
    </w:rPr>
  </w:style>
  <w:style w:type="character" w:customStyle="1" w:styleId="aff">
    <w:name w:val="ШапкаОсн"/>
    <w:rPr>
      <w:rFonts w:ascii="Arial" w:hAnsi="Arial"/>
      <w:b/>
      <w:spacing w:val="-4"/>
      <w:sz w:val="18"/>
      <w:vertAlign w:val="baseline"/>
    </w:rPr>
  </w:style>
  <w:style w:type="character" w:customStyle="1" w:styleId="Subst">
    <w:name w:val="Subst"/>
    <w:uiPriority w:val="99"/>
    <w:rPr>
      <w:b/>
      <w:i/>
    </w:rPr>
  </w:style>
  <w:style w:type="paragraph" w:styleId="25">
    <w:name w:val="Body Text 2"/>
    <w:basedOn w:val="a"/>
    <w:pPr>
      <w:widowControl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FollowedHyperlink"/>
    <w:rPr>
      <w:color w:val="800080"/>
      <w:u w:val="single"/>
    </w:rPr>
  </w:style>
  <w:style w:type="paragraph" w:styleId="aff1">
    <w:name w:val="List Paragraph"/>
    <w:basedOn w:val="a"/>
    <w:pPr>
      <w:ind w:left="720"/>
      <w:contextualSpacing/>
    </w:pPr>
    <w:rPr>
      <w:rFonts w:eastAsia="Calibri"/>
    </w:rPr>
  </w:style>
  <w:style w:type="character" w:styleId="aff2">
    <w:name w:val="page number"/>
    <w:basedOn w:val="a0"/>
  </w:style>
  <w:style w:type="character" w:customStyle="1" w:styleId="afe">
    <w:name w:val="Основной текст Знак"/>
    <w:link w:val="afd"/>
    <w:rPr>
      <w:sz w:val="24"/>
      <w:szCs w:val="24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eastAsia="Calibri"/>
    </w:rPr>
  </w:style>
  <w:style w:type="character" w:styleId="aff3">
    <w:name w:val="annotation reference"/>
    <w:rPr>
      <w:sz w:val="16"/>
      <w:szCs w:val="16"/>
    </w:rPr>
  </w:style>
  <w:style w:type="paragraph" w:styleId="aff4">
    <w:name w:val="annotation text"/>
    <w:basedOn w:val="a"/>
    <w:link w:val="aff5"/>
    <w:rPr>
      <w:rFonts w:cs="Times New Roman"/>
      <w:lang w:val="en-US" w:eastAsia="en-US"/>
    </w:rPr>
  </w:style>
  <w:style w:type="character" w:customStyle="1" w:styleId="aff5">
    <w:name w:val="Текст примечания Знак"/>
    <w:link w:val="aff4"/>
    <w:rPr>
      <w:rFonts w:ascii="Arial" w:hAnsi="Arial" w:cs="Arial"/>
    </w:rPr>
  </w:style>
  <w:style w:type="paragraph" w:styleId="aff6">
    <w:name w:val="annotation subject"/>
    <w:basedOn w:val="aff4"/>
    <w:next w:val="aff4"/>
    <w:link w:val="aff7"/>
    <w:rPr>
      <w:b/>
      <w:bCs/>
    </w:rPr>
  </w:style>
  <w:style w:type="character" w:customStyle="1" w:styleId="aff7">
    <w:name w:val="Тема примечания Знак"/>
    <w:link w:val="aff6"/>
    <w:rPr>
      <w:rFonts w:ascii="Arial" w:hAnsi="Arial" w:cs="Arial"/>
      <w:b/>
      <w:bCs/>
    </w:rPr>
  </w:style>
  <w:style w:type="character" w:customStyle="1" w:styleId="ab">
    <w:name w:val="Верхний колонтитул Знак"/>
    <w:link w:val="aa"/>
    <w:rPr>
      <w:rFonts w:ascii="Arial" w:hAnsi="Arial" w:cs="Arial"/>
    </w:rPr>
  </w:style>
  <w:style w:type="paragraph" w:styleId="aff8">
    <w:name w:val="Normal (Web)"/>
    <w:basedOn w:val="a"/>
    <w:uiPriority w:val="99"/>
    <w:unhideWhenUsed/>
    <w:pPr>
      <w:widowControl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9">
    <w:name w:val="Strong"/>
    <w:uiPriority w:val="22"/>
    <w:qFormat/>
    <w:rPr>
      <w:b/>
      <w:bCs/>
    </w:rPr>
  </w:style>
  <w:style w:type="character" w:styleId="affa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2">
    <w:name w:val="Гиперссылка1"/>
    <w:link w:val="a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tovenergo.ru/yuridicheskim-litsam/raschet-stoimosti-elektroenergii/predelnye-urovni-svobodnykh-nereguliruemykh-tsen/arkhiv-za-2025-god/" TargetMode="External"/><Relationship Id="rId13" Type="http://schemas.openxmlformats.org/officeDocument/2006/relationships/hyperlink" Target="https://www.saratovenergo.ru/upload/docs/yuridicheskim-litsam/tarify/&#1050;&#1043;&#1056;&#1058;_&#1055;&#1086;&#1089;&#1090;&#1072;&#1085;&#1086;&#1074;&#1083;&#1077;&#1085;&#1080;&#1077;_&#8470;86_&#1086;&#1090;_29.11.2024_&#1057;&#1053;_&#1043;&#1055;.pdf" TargetMode="External"/><Relationship Id="rId18" Type="http://schemas.openxmlformats.org/officeDocument/2006/relationships/hyperlink" Target="https://saratovenergo.ru/internet-priemnaya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saratovenergo.ru/" TargetMode="External"/><Relationship Id="rId7" Type="http://schemas.openxmlformats.org/officeDocument/2006/relationships/hyperlink" Target="https://bo.nalog.ru/organizations-card/6273330" TargetMode="External"/><Relationship Id="rId12" Type="http://schemas.openxmlformats.org/officeDocument/2006/relationships/hyperlink" Target="https://www.saratovenergo.ru/yuridicheskim-litsam/raschet-stoimosti-elektroenergii/predelnye-urovni-svobodnykh-nereguliruemykh-tsen/arkhiv-za-2025-god/" TargetMode="External"/><Relationship Id="rId17" Type="http://schemas.openxmlformats.org/officeDocument/2006/relationships/hyperlink" Target="https://www.saratovenergo.ru/uslugi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saratovenergo.ru/yuridicheskim-litsam/tipovye-formy-dogovorov/" TargetMode="External"/><Relationship Id="rId20" Type="http://schemas.openxmlformats.org/officeDocument/2006/relationships/hyperlink" Target="https://lk.saratovenergo.ru/logi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ratovenergo.ru/upload/docs/yuridicheskim-litsam/tarify/&#1050;&#1043;&#1056;&#1058;_&#1055;&#1086;&#1089;&#1090;&#1072;&#1085;&#1086;&#1074;&#1083;&#1077;&#1085;&#1080;&#1077;_&#8470;83_&#1086;&#1090;_29.11.2024_&#1045;&#1050;&#1058;.pdf" TargetMode="External"/><Relationship Id="rId24" Type="http://schemas.openxmlformats.org/officeDocument/2006/relationships/hyperlink" Target="mailto:sar1-office@interra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aratovenergo.ru/chastnym-litsam/tipovye-formy-dogovorov/" TargetMode="External"/><Relationship Id="rId23" Type="http://schemas.openxmlformats.org/officeDocument/2006/relationships/hyperlink" Target="https://www.saratovenergo.ru/about/contacts/territorial-division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aratovenergo.ru/yuridicheskim-litsam/raschet-stoimosti-elektroenergii/srednevzveshennye-nereguliruemye-tseny-v-chasti-pokupki-na-optovom-rynke/" TargetMode="External"/><Relationship Id="rId19" Type="http://schemas.openxmlformats.org/officeDocument/2006/relationships/hyperlink" Target="http://www.my.saratovenerg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ratovenergo.ru/chastnym-litsam/tarify/" TargetMode="External"/><Relationship Id="rId14" Type="http://schemas.openxmlformats.org/officeDocument/2006/relationships/hyperlink" Target="https://www.saratovenergo.ru/raskrytie-informatsii-garantiruyushchim-postavshchikom/the-main-terms-of-the-contract-of-purchase-and-sale/" TargetMode="External"/><Relationship Id="rId22" Type="http://schemas.openxmlformats.org/officeDocument/2006/relationships/hyperlink" Target="https://www.saratovenergo.ru/chastnym-litsam/priem-pokazaniy.php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4139</Words>
  <Characters>23597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2010 году в ОАО «Саратовэнерго» применяются 2 формы договоров энергоснабжения населения:</vt:lpstr>
    </vt:vector>
  </TitlesOfParts>
  <Company>Your Company Name</Company>
  <LinksUpToDate>false</LinksUpToDate>
  <CharactersWithSpaces>27681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2010 году в ОАО «Саратовэнерго» применяются 2 формы договоров энергоснабжения населения:</dc:title>
  <dc:creator>lanshikova</dc:creator>
  <cp:lastModifiedBy>mazhnikova_ii</cp:lastModifiedBy>
  <cp:revision>57</cp:revision>
  <dcterms:created xsi:type="dcterms:W3CDTF">2022-05-05T11:30:00Z</dcterms:created>
  <dcterms:modified xsi:type="dcterms:W3CDTF">2026-05-25T11:50:00Z</dcterms:modified>
  <cp:version>1048576</cp:version>
</cp:coreProperties>
</file>