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right"/>
        <w:spacing w:after="0" w:line="216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pacing w:val="-14"/>
          <w:sz w:val="20"/>
          <w:szCs w:val="20"/>
          <w:lang w:eastAsia="ru-RU"/>
        </w:rPr>
      </w:pPr>
      <w:r>
        <w:rPr>
          <w:rFonts w:ascii="Times New Roman" w:hAnsi="Times New Roman" w:cs="Times New Roman"/>
          <w:spacing w:val="-14"/>
          <w:szCs w:val="16"/>
        </w:rPr>
        <w:t xml:space="preserve">   </w:t>
      </w:r>
      <w:r>
        <w:rPr>
          <w:rFonts w:ascii="Times New Roman" w:hAnsi="Times New Roman" w:cs="Times New Roman"/>
          <w:spacing w:val="-14"/>
          <w:szCs w:val="16"/>
          <w:u w:val="single"/>
        </w:rPr>
        <w:t xml:space="preserve">  </w:t>
      </w:r>
      <w:r>
        <w:rPr>
          <w:rFonts w:ascii="Times New Roman" w:hAnsi="Times New Roman" w:cs="Times New Roman"/>
          <w:spacing w:val="-14"/>
          <w:szCs w:val="16"/>
        </w:rPr>
        <w:t xml:space="preserve">                             </w:t>
      </w:r>
      <w:r>
        <w:rPr>
          <w:rFonts w:ascii="Times New Roman" w:hAnsi="Times New Roman" w:cs="Times New Roman"/>
          <w:spacing w:val="-14"/>
          <w:szCs w:val="16"/>
          <w:u w:val="single"/>
        </w:rPr>
        <w:t xml:space="preserve">                        </w:t>
      </w:r>
      <w:r>
        <w:rPr>
          <w:rFonts w:ascii="Times New Roman" w:hAnsi="Times New Roman" w:cs="Times New Roman"/>
          <w:spacing w:val="-14"/>
          <w:szCs w:val="16"/>
        </w:rPr>
        <w:t xml:space="preserve"> </w:t>
      </w:r>
      <w:r>
        <w:rPr>
          <w:rFonts w:ascii="Times New Roman" w:hAnsi="Times New Roman" w:eastAsia="Times New Roman" w:cs="Times New Roman"/>
          <w:i/>
          <w:spacing w:val="-14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i/>
          <w:spacing w:val="-14"/>
          <w:sz w:val="20"/>
          <w:szCs w:val="20"/>
          <w:lang w:eastAsia="ru-RU"/>
        </w:rPr>
      </w:r>
    </w:p>
    <w:p>
      <w:pPr>
        <w:jc w:val="right"/>
        <w:spacing w:after="0" w:line="216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pacing w:val="-14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i/>
          <w:spacing w:val="-14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i/>
          <w:spacing w:val="-14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i/>
          <w:spacing w:val="-14"/>
          <w:sz w:val="20"/>
          <w:szCs w:val="20"/>
          <w:lang w:eastAsia="ru-RU"/>
        </w:rPr>
      </w:r>
    </w:p>
    <w:p>
      <w:pPr>
        <w:jc w:val="right"/>
        <w:spacing w:after="0" w:line="216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pacing w:val="-14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i/>
          <w:spacing w:val="-14"/>
          <w:sz w:val="20"/>
          <w:szCs w:val="20"/>
          <w:lang w:eastAsia="ru-RU"/>
        </w:rPr>
        <w:t xml:space="preserve">Форма: «Для граждан-потребителей, проживающих в МКД»</w:t>
      </w:r>
      <w:r>
        <w:rPr>
          <w:rFonts w:ascii="Times New Roman" w:hAnsi="Times New Roman" w:eastAsia="Times New Roman" w:cs="Times New Roman"/>
          <w:i/>
          <w:spacing w:val="-14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i/>
          <w:spacing w:val="-14"/>
          <w:sz w:val="20"/>
          <w:szCs w:val="20"/>
          <w:lang w:eastAsia="ru-RU"/>
        </w:rPr>
      </w:r>
    </w:p>
    <w:p>
      <w:pPr>
        <w:spacing w:after="0" w:line="216" w:lineRule="auto"/>
        <w:shd w:val="clear" w:color="auto" w:fill="ffffff"/>
        <w:widowControl w:val="off"/>
        <w:tabs>
          <w:tab w:val="left" w:pos="4680" w:leader="none"/>
        </w:tabs>
        <w:rPr>
          <w:rFonts w:ascii="Times New Roman" w:hAnsi="Times New Roman" w:eastAsia="Times New Roman" w:cs="Times New Roman"/>
          <w:i/>
          <w:spacing w:val="-14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i/>
          <w:spacing w:val="-14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i/>
          <w:spacing w:val="-14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i/>
          <w:spacing w:val="-14"/>
          <w:sz w:val="20"/>
          <w:szCs w:val="20"/>
          <w:lang w:eastAsia="ru-RU"/>
        </w:rPr>
      </w:r>
    </w:p>
    <w:p>
      <w:pPr>
        <w:spacing w:after="0" w:line="216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pacing w:val="-14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pacing w:val="-14"/>
          <w:sz w:val="20"/>
          <w:szCs w:val="20"/>
          <w:lang w:eastAsia="ru-RU"/>
        </w:rPr>
        <w:t xml:space="preserve">Договор энергоснабжения №______________________________   </w:t>
      </w:r>
      <w:r>
        <w:rPr>
          <w:rFonts w:ascii="Times New Roman" w:hAnsi="Times New Roman" w:eastAsia="Times New Roman" w:cs="Times New Roman"/>
          <w:spacing w:val="-14"/>
          <w:sz w:val="20"/>
          <w:szCs w:val="20"/>
          <w:lang w:eastAsia="ru-RU"/>
        </w:rPr>
        <w:t xml:space="preserve">от</w:t>
      </w:r>
      <w:r>
        <w:rPr>
          <w:rFonts w:ascii="Times New Roman" w:hAnsi="Times New Roman" w:eastAsia="Times New Roman" w:cs="Times New Roman"/>
          <w:spacing w:val="-14"/>
          <w:sz w:val="20"/>
          <w:szCs w:val="20"/>
          <w:lang w:eastAsia="ru-RU"/>
        </w:rPr>
        <w:t xml:space="preserve">  </w:t>
      </w:r>
      <w:r>
        <w:rPr>
          <w:rFonts w:ascii="Times New Roman" w:hAnsi="Times New Roman" w:eastAsia="Times New Roman" w:cs="Times New Roman"/>
          <w:b/>
          <w:spacing w:val="-14"/>
          <w:sz w:val="20"/>
          <w:szCs w:val="20"/>
          <w:lang w:eastAsia="ru-RU"/>
        </w:rPr>
        <w:t xml:space="preserve"> «</w:t>
      </w:r>
      <w:r>
        <w:rPr>
          <w:rFonts w:ascii="Times New Roman" w:hAnsi="Times New Roman" w:eastAsia="Times New Roman" w:cs="Times New Roman"/>
          <w:b/>
          <w:spacing w:val="-14"/>
          <w:sz w:val="20"/>
          <w:szCs w:val="20"/>
          <w:lang w:eastAsia="ru-RU"/>
        </w:rPr>
        <w:t xml:space="preserve">____» __________ 202___г.</w:t>
      </w:r>
      <w:r>
        <w:rPr>
          <w:rFonts w:ascii="Times New Roman" w:hAnsi="Times New Roman" w:eastAsia="Times New Roman" w:cs="Times New Roman"/>
          <w:b/>
          <w:spacing w:val="-14"/>
          <w:sz w:val="20"/>
          <w:szCs w:val="20"/>
          <w:lang w:eastAsia="ru-RU"/>
        </w:rPr>
        <w:tab/>
        <w:t xml:space="preserve">____________________________</w:t>
      </w:r>
      <w:r>
        <w:rPr>
          <w:rFonts w:ascii="Times New Roman" w:hAnsi="Times New Roman" w:eastAsia="Times New Roman" w:cs="Times New Roman"/>
          <w:b/>
          <w:spacing w:val="-14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pacing w:val="-14"/>
          <w:sz w:val="20"/>
          <w:szCs w:val="20"/>
          <w:lang w:eastAsia="ru-RU"/>
        </w:rPr>
      </w:r>
    </w:p>
    <w:p>
      <w:pPr>
        <w:spacing w:after="0" w:line="216" w:lineRule="auto"/>
        <w:shd w:val="clear" w:color="auto" w:fill="ffffff"/>
        <w:widowControl w:val="off"/>
        <w:rPr>
          <w:rFonts w:ascii="Times New Roman" w:hAnsi="Times New Roman" w:eastAsia="Times New Roman" w:cs="Times New Roman"/>
          <w:i/>
          <w:spacing w:val="-14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i/>
          <w:spacing w:val="-14"/>
          <w:sz w:val="20"/>
          <w:szCs w:val="20"/>
          <w:lang w:eastAsia="ru-RU"/>
        </w:rPr>
        <w:t xml:space="preserve">                                                                                (номер лицевого счёта)</w:t>
      </w:r>
      <w:r>
        <w:rPr>
          <w:rFonts w:ascii="Times New Roman" w:hAnsi="Times New Roman" w:eastAsia="Times New Roman" w:cs="Times New Roman"/>
          <w:i/>
          <w:spacing w:val="-14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i/>
          <w:spacing w:val="-14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i/>
          <w:spacing w:val="-14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i/>
          <w:spacing w:val="-14"/>
          <w:sz w:val="20"/>
          <w:szCs w:val="20"/>
          <w:lang w:eastAsia="ru-RU"/>
        </w:rPr>
        <w:tab/>
      </w:r>
      <w:r>
        <w:rPr>
          <w:rFonts w:ascii="Times New Roman" w:hAnsi="Times New Roman" w:eastAsia="Times New Roman" w:cs="Times New Roman"/>
          <w:i/>
          <w:spacing w:val="-14"/>
          <w:sz w:val="20"/>
          <w:szCs w:val="20"/>
          <w:lang w:eastAsia="ru-RU"/>
        </w:rPr>
        <w:tab/>
        <w:t xml:space="preserve">(место заключения договора)</w:t>
      </w:r>
      <w:r>
        <w:rPr>
          <w:rFonts w:ascii="Times New Roman" w:hAnsi="Times New Roman" w:eastAsia="Times New Roman" w:cs="Times New Roman"/>
          <w:i/>
          <w:spacing w:val="-14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i/>
          <w:spacing w:val="-14"/>
          <w:sz w:val="20"/>
          <w:szCs w:val="20"/>
          <w:lang w:eastAsia="ru-RU"/>
        </w:rPr>
      </w:r>
    </w:p>
    <w:p>
      <w:pPr>
        <w:jc w:val="center"/>
        <w:spacing w:after="0" w:line="216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pacing w:val="-14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pacing w:val="-14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pacing w:val="-14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pacing w:val="-14"/>
          <w:sz w:val="20"/>
          <w:szCs w:val="20"/>
          <w:lang w:eastAsia="ru-RU"/>
        </w:rPr>
      </w:r>
    </w:p>
    <w:p>
      <w:pPr>
        <w:jc w:val="both"/>
        <w:spacing w:after="0" w:line="216" w:lineRule="auto"/>
        <w:shd w:val="clear" w:color="auto" w:fill="ffffff"/>
        <w:widowControl w:val="off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Публичное акционерное общество «Саратовэнерго», именуемое в дальнейшем «Поставщик», в лице _____________________________</w:t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__________________________________________________________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, действующего на основании доверенности № ______ от «___»________ 202___г.</w:t>
      </w:r>
      <w:r>
        <w:rPr>
          <w:rFonts w:ascii="Times New Roman" w:hAnsi="Times New Roman" w:eastAsia="Times New Roman" w:cs="Times New Roman"/>
          <w:sz w:val="20"/>
          <w:szCs w:val="20"/>
          <w:u w:val="single"/>
          <w:lang w:eastAsia="ru-RU"/>
        </w:rPr>
        <w:t xml:space="preserve">,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с одной стороны, и гражданин (ка) _____________________________________________________________________ действующий (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ая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) самостоятельно, либо через законного представителя  ______________________________________________________________________, действующего на основании ____________________________________________________именуемый (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ая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) в дальнейшем «Потребитель», с другой стороны, а при совместном упоминании «Стороны», заключили настоящий договор о нижеследующем: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numPr>
          <w:ilvl w:val="0"/>
          <w:numId w:val="1"/>
        </w:numPr>
        <w:jc w:val="center"/>
        <w:spacing w:after="0" w:line="216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Предмет договора.</w:t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</w:p>
    <w:p>
      <w:pPr>
        <w:numPr>
          <w:ilvl w:val="1"/>
          <w:numId w:val="1"/>
        </w:numPr>
        <w:ind w:left="0" w:firstLine="284"/>
        <w:jc w:val="both"/>
        <w:spacing w:after="0" w:line="216" w:lineRule="auto"/>
        <w:shd w:val="clear" w:color="auto" w:fill="ffffff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/>
      <w:bookmarkStart w:id="0" w:name="_Hlk182811925"/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Поставщик осуществляет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продажу потребителю электрической энергии (мощности), урегулирует c системообразующей территориальной сетевой организацией отношения по оказанию услуг по передаче электрической энергии до точек поставки потребителя, оказывает иные услуги, оказание которых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является неотъемлемой частью процесса поставки электрической энергии потребителю, а потребитель оплачивает приобретаемую электрическую энергию (мощность) и оказанные услуги, в соответствии с условиями настоящего договора и действующего законодательства РФ.</w:t>
      </w:r>
      <w:bookmarkEnd w:id="0"/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numPr>
          <w:ilvl w:val="1"/>
          <w:numId w:val="1"/>
        </w:numPr>
        <w:ind w:left="0" w:right="-1" w:firstLine="284"/>
        <w:jc w:val="both"/>
        <w:spacing w:after="0" w:line="216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Потребитель приобретает электрическую энергию на коммунально-бытовые нужды жилого помещения _____________________________________________________ в многоквартирном доме, расположенного по адресу: _____________________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_________________________________________________________________________________, а также долю расхода на общедомовые нужды, при выборе способа непосредственного управления либо при не выбранном способе управления имуществом данного многоквартирного дома.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numPr>
          <w:ilvl w:val="1"/>
          <w:numId w:val="1"/>
        </w:numPr>
        <w:ind w:left="0" w:right="-1" w:firstLine="284"/>
        <w:jc w:val="both"/>
        <w:spacing w:after="0" w:line="216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Количество временно и постоянно проживающих (зарегистрированных) в жилом помещении на момент заключения настоящего договора составляет _____ человек, количество комнат _______.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numPr>
          <w:ilvl w:val="1"/>
          <w:numId w:val="1"/>
        </w:numPr>
        <w:ind w:left="0" w:right="-1" w:firstLine="284"/>
        <w:jc w:val="both"/>
        <w:spacing w:after="0" w:line="216" w:lineRule="auto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Прибором учёта, посредством которого осуществляется учет потреблённой жилым помещением электрической энергии является электросчётчик: тип____________________ заводск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ой №__________________,     дата последней поверки  _____________ , дата введения в эксплуатацию ___________, показания на дату заключения настоящего договора _______________________, место установки _______________________________________________________.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right="-1" w:firstLine="284"/>
        <w:jc w:val="both"/>
        <w:spacing w:after="0" w:line="216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Расчёт объёмов потребления электрическ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ой энергии на общедомовые нужды, при выборе способа непосредственного управления либо при не выбранном способе управления имуществом данного многоквартирного дома, производится на основании коллективного (общедомового) прибора учета многоквартирного дома.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right="-1" w:firstLine="284"/>
        <w:jc w:val="both"/>
        <w:spacing w:after="0" w:line="216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Поставщик обеспечивает коммерческий учет электрической энергии (мощности), в том числе путем приобретения, установки, замены, допуска в эксплуатацию приборов учета электрической энергии и (или) и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ного оборудования, а также нематериальных активов, которые необходимы для обеспечения коммерческого учета электрической энергии (мощности), и последующей их эксплуатации, том числе посредством интеллектуальных систем учета электрической энергии (мощности):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right="-1" w:firstLine="284"/>
        <w:jc w:val="both"/>
        <w:spacing w:after="0" w:line="216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при отсутствии, выходе из строя, утрат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е, истечении срока эксплуатации или истечении интервала между поверками приборов учета электрической энергии и (или) иного оборудования, которые используются для коммерческого учета электрической энергии (мощности), в том числе не принадлежащих поставщику.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right="-1" w:firstLine="284"/>
        <w:jc w:val="both"/>
        <w:spacing w:after="0" w:line="216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Собственником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приборов учёта, обеспечивающим коммерческий учет электрической энергии (мощности) и их эксплуатацию по настоящему договору является поставщик. Контактный телефон поставщика по вопросам обеспечения учёта электрической энергии (мощности)___________________.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right="-1" w:firstLine="284"/>
        <w:jc w:val="both"/>
        <w:spacing w:after="0" w:line="216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1.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5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 Целостность прибора учета определяет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ся отсутствием следов порчи корпуса прибора или повреждения стекла и его внутреннего оборудования, а также сохранностью пломб (в том числе антимагнитных) и (или) знаков визуального контроля на элементах измерительных комплексов учета электрической энергии.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right="-1" w:firstLine="284"/>
        <w:jc w:val="both"/>
        <w:spacing w:after="0" w:line="216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1.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6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 Собственник жилого помещения обязан обеспечить сохранность и целостность при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бора учета электрической энергии, включая пломбы и (или) знаки визуального контроля, а также иного оборудования, входящего в состав интеллектуальной системы учета электрической энергии (мощности), установленного внутри (в границах) такого жилого помещения.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right="-1" w:firstLine="284"/>
        <w:jc w:val="both"/>
        <w:spacing w:after="0" w:line="216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Собственник жилого помещения в соответствии с законодательством РФ обязан возместить собственнику приборов учета убытки,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причиненные неисполнением или ненадлежащим исполнением обязанностей по обеспечению сохранности и целостности установленных приборов учета и (или) иного оборудования, которые используются для обеспечения коммерческого учета электрической энергии (мощности).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right="-1" w:firstLine="284"/>
        <w:jc w:val="both"/>
        <w:spacing w:after="0" w:line="216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Собственники (пользователи) жилого помещения не вправе по своему усмотрению демонтировать приборы учета электриче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ской энергии (измерительные трансформаторы), ограничивать к ним доступ, вмешиваться в работу каналов удаленного сбора, обработки и передачи показаний приборов учета (измерительных трансформаторов), в любой иной форме препятствовать их использованию для обе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спечения и осуществления контроля коммерческого учета электрической энергии (мощности), в том числе проведению проверок целостности и корректности работы таких приборов учета (измерительных трансформаторов), замены прибора учета и (или) иного оборудования,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которые используются для коммерческого учета электрической энергии (мощности), а также для проведения работ, связанных с эксплуатацией прибора учета и (или) иного оборудования, которые используются для коммерческого учета электрической энергии (мощности).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right="-1" w:firstLine="284"/>
        <w:jc w:val="both"/>
        <w:spacing w:after="0" w:line="216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1.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7</w:t>
      </w:r>
      <w:bookmarkStart w:id="1" w:name="_GoBack"/>
      <w:r/>
      <w:bookmarkEnd w:id="1"/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 Поставщик, имеющий намерение установить либо замен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ить прибор учета электрической энергии, направляет запрос на установку (замену) прибора учета способом, позволяющим подтвердить факт его получения, в адрес собственника жилого помещения, в отношении которого планируется установка либо замена прибора учета.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В таком запросе на установку (замену) прибора учета должны быть указаны: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- реквизиты и контактные данные лица, направившего запрос, включая номер телефона, а также причины установки либо замены ранее установленного прибора учета;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- место нахождения жилого помещения, в отношении которого планируется установка или замена прибора учета;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- предлагаемые места установки прибора учета в случае, если они отличаются от ранее согласованных мест установки, с обоснованием причины изменения места установки;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- информация о приборе учета и (или) об ином оборудовании, которые предполагается установить и заменить;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- предполагаемые дата и время совершения действий по установке и допуску в эксплуатацию приборов учета (при необходимости допуска в эксплуатацию);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- обязанность собственника жилого помещения, в отношении которого планируется установка либо замена прибора учета, по обеспечению допуска к местам установки приборов учета, а также последствия недопуска;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- информация о действиях, которые поставщик вправе предпринять в случае, если им будет отказано в доступе к месту установки приборов учета.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Собственник жилого помещения, в течение 10 рабочих дней со дня получения запроса об установке (о замене)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прибора учета электрической энергии обязан либо подтвердить предложенные дату и время допуска к местам установки приборов учета для совершения действий по установке (замене) и допуску в эксплуатацию приборов учета либо согласовать иные дату и (или) время.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right="-1" w:firstLine="284"/>
        <w:jc w:val="both"/>
        <w:spacing w:after="0" w:line="216" w:lineRule="auto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В подтвержденные дату и время собственник приборов учета осуществляют действия по установке (замене) прибора учета.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numPr>
          <w:ilvl w:val="0"/>
          <w:numId w:val="1"/>
        </w:numPr>
        <w:jc w:val="center"/>
        <w:spacing w:after="0" w:line="216" w:lineRule="auto"/>
        <w:shd w:val="clear" w:color="auto" w:fill="ffffff"/>
        <w:widowControl w:val="off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Права и обязанности Поставщика.</w:t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288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2.1.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Поставщик обязуется з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аключать в интересах потребителя с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системообразующей территориальной сетевой организацией, договор на оказание услуг по передаче электрической энергии, а также урегулировать отношения с субъектами электроэнергетики, оказывающими иные услуги, неразрывно связанные с процессом снабжения элект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рической энергией. В свою очередь, системообразующая территориальная сетевая организация, при необходимости, самостоятельно заключает соответствующие договоры, на основании которых ей оказывают услуги по передаче электрической энергии (мощности) организаци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я по управлению единой (национальной) общероссийской электрической сетью и (или) территориально сетевые организации, владеющие объектами электросетевого хозяйства, использование которых необходимо для передачи электрической энергии (мощности) потребителю.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288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Системообразующая территориальная организация по настоящему договору:____________________________имеет официальный сайт в сети интернет по адресу:__________________и контактный телефон_______________________по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вопросам обеспечения электроснабжения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до границ балансовой принадлежности электрических сетей Сетевой организации.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288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Сетевая организация по настоящему договору _________________________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_________________ имеет официальный сайт в сети интернет по адресу _________________ и контактный телефон _________________по вопросам обеспечения электроснабжения до границ балансовой принадлежности внутридомовых электрических сетей многоквартирного дома.</w:t>
      </w:r>
      <w:bookmarkStart w:id="2" w:name="_Ref157426593"/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288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2.2.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Поставщик обязуется обеспечить надёжность электроснабжения и поставку качественной электрической энергии, соответствующей требованиям технических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регламентов и иным обязательным требованиям по 3 категории надежности, в пределах границ балансовой принадлежности сетевой организации. Поставщик несет перед потребителем ответственность за неисполнение или ненадлежащее исполнение обязательств по договору,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в том числе за действия сетевой организации, привлеченной для оказания услуг по передаче электрической энергии, а также других лиц, привлеченных для оказания услуг, которые являются неотъемлемой частью процесса поставки электрической энергии потребителям.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2.3. Поставщик обязуется принимать от потребителя показания индивидуальных приборов учета жилого помещения, в том числе способами, допускающими возможность удаленной передачи сведений о показаниях приборов учета (телефон, государственная инфор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мационная система жилищно-коммунального хозяйства, сеть Интернет и др.), и использовать показания, полученные не позднее 25-го числа расчетного месяца, при расчете размера платы за коммунальные услуги за тот расчетный период, за который были сняты показани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я, если прибор учета электрической энергии не подключен к интеллектуальной системе учета электрической энергии (мощности), а также проводить проверки состояния указанных приборов учета и достоверности предоставленных потребителем сведений об их показаниях.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Поставщик обязуется принимать о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т управляющей организации, товарищества или кооператива, осуществляющих управление многоквартирным домом показания коллективных (общедомовых) приборов учёта, снятых в период с 23-го по 25-е число текущего месяца, и переданных в срок не позднее 26-го числа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текущего месяца, в порядке, определенном заключенным управляющей организацией, товариществом или кооперативом с Поставщиком договором о приобретении коммунальных ресурсов, потребляемых при использовании и содержании общего имущества в многоквартирном доме.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Снятие показаний колл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ективных (общедомовых) приборов учёта, а также индивидуальных приборов учета жилого помещения, подключенных к интеллектуальной системе учета электрической энергии (мощности), владельцем которой является Поставщик, осуществляется Поставщиком самостоятельно.</w:t>
      </w:r>
      <w:bookmarkEnd w:id="2"/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338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2.4. Поставщик вправе самостоятельно: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338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2.4.1 осуществлять проверки условий эксплуатации средств измерений (совокупность средств измерений и дополнительного оборудования) и снятие показаний средств измерений, в том числе дистанционным способом;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338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2.4.2. в присутствии Потребителя, производить работы в электроустановках Потребителя, в том числе в измерительных цепях.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338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2.4.3. вводить режим ограничения и (или) приостановления потребления электрической энергии Потребителем, в связи с наступлением соответствующих обстоятельств, с соблюдением порядка, предусмотренного требованиями Правил предоставления ко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ммунальных услуг собственникам и пользователям помещений в многоквартирных домах и жилых домов, утверждённых постановлением Правительства РФ от 06.05.2011 № 354 на основании уведомления, направленного любым из способов, указанных в подпунктах с «а» по «ж»: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338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а) по SMS, на номер мобильной (сотовой) связи потребителя _________________________________;           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338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б) посредством передачи потребителю голосовой информации по сети телефонной связи потребителя __________________________, с записью разговора; 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338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в) по электронной почте потребителя ___________________________________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_ 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338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г) по почте на бумажном носителе на адрес потребителя ____________________________________ ______;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338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д) нарочно;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338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е) через личный кабинет физических лиц на сайте Поставщика </w:t>
      </w:r>
      <w:hyperlink r:id="rId10" w:tooltip="http://www.saratovenergo.ru" w:history="1">
        <w:r>
          <w:rPr>
            <w:rFonts w:ascii="Times New Roman" w:hAnsi="Times New Roman" w:eastAsia="Times New Roman" w:cs="Times New Roman"/>
            <w:sz w:val="20"/>
            <w:szCs w:val="20"/>
            <w:lang w:eastAsia="ru-RU"/>
          </w:rPr>
          <w:t xml:space="preserve">www.saratovenergo.ru</w:t>
        </w:r>
      </w:hyperlink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338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ё) через личный кабинет потребителя в государственной информационной системе жилищно-коммунального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хозяйства;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line="216" w:lineRule="auto"/>
        <w:shd w:val="clear" w:color="auto" w:fill="ffffff"/>
        <w:widowControl w:val="off"/>
        <w:tabs>
          <w:tab w:val="left" w:pos="709" w:leader="none"/>
        </w:tabs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ж) посредством включения текста уведомления в счет на оплату потребленной электрической энергии (мощности).</w:t>
      </w:r>
      <w:r>
        <w:rPr>
          <w:rFonts w:ascii="Times New Roman" w:hAnsi="Times New Roman" w:eastAsia="Times New Roman" w:cs="Times New Roman"/>
          <w:sz w:val="20"/>
          <w:szCs w:val="20"/>
        </w:rPr>
      </w:r>
      <w:r>
        <w:rPr>
          <w:rFonts w:ascii="Times New Roman" w:hAnsi="Times New Roman" w:eastAsia="Times New Roman" w:cs="Times New Roman"/>
          <w:sz w:val="20"/>
          <w:szCs w:val="20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338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Потребитель своей волей и в своем интересе выражает Поставщику свое согласие на направление уведомлений вышеуказанными способами.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338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В случае несвоевременного информирования Потребителем Поставщика об изменении номера мобильной (сотовой)  или фиксированной телефонной связи,  адреса электронной почты, почтового адреса, указанных в подпунктах с «а» по «г», Поставщик не несёт ответствен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ность за возможность неполучения  уведомления Потребителе, при этом Потребитель принимает на себя всю ответственность за возможные связанные с этим последствия, а уведомления Поставщика считаются надлежащим образом направленными и полученными Потребителем;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338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2.5. Поставщик вправе: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338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а) взимать с Потребителя расходы Поставщика по введению огр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аничения, приостановлению и возобновлению энергоснабжения после введения в отношении его ограничения (приостановления) режима электропотребления по основаниям, указанным в п.2.3.3. настоящего договора, а также требовать от Потребителя оплаты задолженности;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338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б) информировать Потребителя: о смене тарифа на электрическую энергию, об имеющейся задолженности потребителя, путём отправки уведомления, направленного способами и по адресам потребителя, предусмотренными требованиями п.2.3.3. настоящего договора.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widowControl w:val="off"/>
        <w:tabs>
          <w:tab w:val="left" w:pos="0" w:leader="none"/>
          <w:tab w:val="left" w:pos="1134" w:leader="none"/>
          <w:tab w:val="left" w:pos="1276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в) требовать от потребителя внесения платы за потребленную электрическую энергию, в том числе неустоек (пени) рассчитанных Поставщиком, согласно требованиям действующего законодательства РФ;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widowControl w:val="off"/>
        <w:tabs>
          <w:tab w:val="left" w:pos="0" w:leader="none"/>
          <w:tab w:val="left" w:pos="1134" w:leader="none"/>
          <w:tab w:val="left" w:pos="1276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г) устанавливать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количество граждан, проживающих (в том числе временно) в занимаемом потребителем жилом помещении в случае, если жилое помещение не оборудовано приборами учета электрической энергии, а также в иных случаях, предусмотренных действующим законодательством РФ;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widowControl w:val="off"/>
        <w:tabs>
          <w:tab w:val="left" w:pos="0" w:leader="none"/>
          <w:tab w:val="left" w:pos="1134" w:leader="none"/>
          <w:tab w:val="left" w:pos="1276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д) требовать от потребителя возмещения убытков, причиненных неисполнением или ненадлежащим исполнением потр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ебителем обязанностей по обеспечению сохранности и целостности приборов учета и (или) иного оборудования, которые используются для обеспечения коммерческого учета электрической энергии (мощности), установленного внутри (в границах) такого жилого помещения.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widowControl w:val="off"/>
        <w:tabs>
          <w:tab w:val="left" w:pos="0" w:leader="none"/>
          <w:tab w:val="left" w:pos="1134" w:leader="none"/>
          <w:tab w:val="left" w:pos="1276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left="-180" w:firstLine="180"/>
        <w:jc w:val="center"/>
        <w:spacing w:after="0" w:line="216" w:lineRule="auto"/>
        <w:widowControl w:val="off"/>
        <w:tabs>
          <w:tab w:val="left" w:pos="1134" w:leader="none"/>
          <w:tab w:val="num" w:pos="1211" w:leader="none"/>
        </w:tabs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3. Права и обязанности Потребителя</w:t>
      </w:r>
      <w:bookmarkStart w:id="3" w:name="_Ref157432196"/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338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3.1. Потребитель обязуется оплачивать Поставщику фактически полученный объем электрической энергии и оказанные ему услуги в соответствии с условиями настоящего договора и действующего законодательства РФ.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/>
      <w:bookmarkStart w:id="4" w:name="_Ref157439448"/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3.2.</w:t>
      </w:r>
      <w:bookmarkEnd w:id="3"/>
      <w:r/>
      <w:bookmarkEnd w:id="4"/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Потребитель обязуется не реже 1 раза в 6 месяцев обеспечить доступ уполномоченных представителей Поставщика и (или) сетевой организации к средствам учета в целях проверки условий его эксплуатации, сохранности и снятия контрольных показаний.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338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3.3. Потребитель обязуется: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180" w:leader="none"/>
          <w:tab w:val="left" w:pos="36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а) при обнаружении неисправностей, повреждений, утрате, индивидуального, общего (квартирного), комнатного прибора учета, нарушения целостности их пломб, в течение одних суток сообщать об этом поставщику;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180" w:leader="none"/>
          <w:tab w:val="left" w:pos="36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б) обеспечить сохранность установленн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ых на индивидуальные, общие (квартирные) и комнатные приборы учета электрической энергии контрольных пломб и индикаторов антимагнитных пломб, а также пломб и устройств, позволяющие фиксировать факт несанкционированного вмешательства в работу прибора учета;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widowControl w:val="off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в) информировать Поставщика об увеличении или уменьшении числа граждан, проживающих (в том числе временно) в занимаемом им жилом помещении, количестве комнат и иной инфо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рмации, необходимой для расчета платы за электрическую энергию, не позднее 5 рабочих дней со дня произошедших изменений, в случае если жилое помещение не оборудовано прибором учета, по форме письменного уведомления с приложением подтверждающих документов;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widowControl w:val="off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г)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информировать Поставщика о фактической (планируемой) дате перехода к иному лицу прав собственности или иных законных прав владения и (или) пользования, предусмотренных законодательством РФ на объект энергоснабжения, указанный в п.1.3. настоящего договора;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widowControl w:val="off"/>
        <w:tabs>
          <w:tab w:val="left" w:pos="1134" w:leader="none"/>
          <w:tab w:val="num" w:pos="1224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д) при смене номера мобильной (сотовой) или фиксированной телефонной связи, адреса электронной почты, почтового адреса, указанных в п.2.3.3.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п.п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 с «а» по «г» настоящего договора Потребитель обязан письменно уведомить об этом Поставщика в 3-х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дневный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срок, с момента произошедших изменений. В противном случае, Потребитель принимает на себя всю ответственность за возможные риски и связанные с этим последствия, а направленные Поставщиком уведомления считаются надлежащим образом полученными Потребителем;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widowControl w:val="off"/>
        <w:tabs>
          <w:tab w:val="left" w:pos="1134" w:leader="none"/>
          <w:tab w:val="num" w:pos="1224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е) нести иные обя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занности, предусмотренные жилищным законодательством РФ, в том числе Правилами предоставления коммунальных услуг собственникам и пользователям помещений в многоквартирных домах и жилых домов, утверждённых постановлением Правительства РФ от 06.05.2011 №354.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3.4. Потребитель вправе: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а) осуществлять предварительную оплату за потребленную электрическую энергию в счет начислений будущих             периодов.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б) выбрать тариф для расчётов за потреблённую электрическую энергию (из указанных в пункте 5.4. настоящего договор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а) посредством направления письменного уведомления Поставщику с даты, указанной в уведомлении, но не ранее даты ввода в эксплуатацию соответствующих приборов учета, позволяющих получать данные о потреблении электрической энергии по зонам суток (при выборе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одноставочного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тарифа, дифференцированный по 2 или 3 зонам суток) и выполнения необходимых организационно-технических мероприятий, предусмотренных действующим законодательством РФ;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г) при наличии индивидуального, общего (квартирного) или комнатного прибора учета, для расчета объёма потреблённой электрической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энергии и размера платы за коммунальную услугу, ежемесячно снимать показания прибора учёта и передавать сведения Поставщику или уполномоченному им лицу в срок не позднее 25-го числа месяца, в котором были сняты показания прибора учёта, следующим способом: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- по телефону оператора по приёму показаний приборов учёта 8 (8452) 694141;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- по телефону горячей линии Поставщика 8 (8452) 694545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- SMS сообщением, на номер телефона, указанный на сайте Поставщика </w:t>
      </w:r>
      <w:hyperlink r:id="rId11" w:tooltip="http://www.saratovenergo.ru" w:history="1">
        <w:r>
          <w:rPr>
            <w:rFonts w:ascii="Times New Roman" w:hAnsi="Times New Roman" w:eastAsia="Times New Roman" w:cs="Times New Roman"/>
            <w:color w:val="0000ff"/>
            <w:sz w:val="20"/>
            <w:szCs w:val="20"/>
            <w:u w:val="single"/>
            <w:lang w:val="en-US" w:eastAsia="ru-RU"/>
          </w:rPr>
          <w:t xml:space="preserve">www</w:t>
        </w:r>
        <w:r>
          <w:rPr>
            <w:rFonts w:ascii="Times New Roman" w:hAnsi="Times New Roman" w:eastAsia="Times New Roman" w:cs="Times New Roman"/>
            <w:color w:val="0000ff"/>
            <w:sz w:val="20"/>
            <w:szCs w:val="20"/>
            <w:u w:val="single"/>
            <w:lang w:eastAsia="ru-RU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0"/>
            <w:szCs w:val="20"/>
            <w:u w:val="single"/>
            <w:lang w:val="en-US" w:eastAsia="ru-RU"/>
          </w:rPr>
          <w:t xml:space="preserve">saratovenergo</w:t>
        </w:r>
        <w:r>
          <w:rPr>
            <w:rFonts w:ascii="Times New Roman" w:hAnsi="Times New Roman" w:eastAsia="Times New Roman" w:cs="Times New Roman"/>
            <w:color w:val="0000ff"/>
            <w:sz w:val="20"/>
            <w:szCs w:val="20"/>
            <w:u w:val="single"/>
            <w:lang w:eastAsia="ru-RU"/>
          </w:rPr>
          <w:t xml:space="preserve">.</w:t>
        </w:r>
        <w:r>
          <w:rPr>
            <w:rFonts w:ascii="Times New Roman" w:hAnsi="Times New Roman" w:eastAsia="Times New Roman" w:cs="Times New Roman"/>
            <w:color w:val="0000ff"/>
            <w:sz w:val="20"/>
            <w:szCs w:val="20"/>
            <w:u w:val="single"/>
            <w:lang w:val="en-US" w:eastAsia="ru-RU"/>
          </w:rPr>
          <w:t xml:space="preserve">ru</w:t>
        </w:r>
      </w:hyperlink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(описание в разделе: Частным лицам / Приём показаний / Приём показаний через </w:t>
      </w:r>
      <w:r>
        <w:rPr>
          <w:rFonts w:ascii="Times New Roman" w:hAnsi="Times New Roman" w:eastAsia="Times New Roman" w:cs="Times New Roman"/>
          <w:sz w:val="20"/>
          <w:szCs w:val="20"/>
          <w:lang w:val="en-US" w:eastAsia="ru-RU"/>
        </w:rPr>
        <w:t xml:space="preserve">SMS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);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- через личный кабинет физических лиц на сайте Поставщика </w:t>
      </w:r>
      <w:hyperlink r:id="rId12" w:tooltip="http://www.saratovenergo.ru" w:history="1">
        <w:r>
          <w:rPr>
            <w:rFonts w:ascii="Times New Roman" w:hAnsi="Times New Roman" w:eastAsia="Times New Roman" w:cs="Times New Roman"/>
            <w:color w:val="0000ff"/>
            <w:sz w:val="20"/>
            <w:szCs w:val="20"/>
            <w:u w:val="single"/>
            <w:lang w:eastAsia="ru-RU"/>
          </w:rPr>
          <w:t xml:space="preserve">www.saratovenergo.ru</w:t>
        </w:r>
      </w:hyperlink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40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При наличии технической возможности показания приборов учёта могут быть сняты дистанционно Поставщиком.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3.5. Потребитель имеет право получать от Поставщика сведения о произведённых начислениях за потреблённую электрическую энергию, наличии (отсутствии) задолженности или переплаты потребителя за потреблённую электрическую энергию.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3.6. Потребитель имеет право требовать в случаях и порядке, установленными законодательством РФ, изменения размера платы за потреблённую электрическую энергию при условии предоставления Поставщику документального подтверждения наличия оснований.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widowControl w:val="off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3.7. Направлять заявление о расторжении договора не менее чем за 30 дней до предполагаемого срока расторжения. При выезде из занимаемого помещения (при смене собственника жилого помещени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я), Потребитель обязан совместно с представителями Поставщика составить «Акт снятия показаний приборов расчётного учёта» с указанием последних показаний приборов учета, а также произвести полный расчет с Поставщиком, согласно условиям настоящего договора.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widowControl w:val="off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jc w:val="center"/>
        <w:spacing w:after="0" w:line="216" w:lineRule="auto"/>
        <w:shd w:val="clear" w:color="auto" w:fill="ffffff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4. Порядок определения объема потребленной электрической энергии и оказанных услуг.</w:t>
      </w:r>
      <w:bookmarkStart w:id="5" w:name="_Ref157427584"/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338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4.1. </w:t>
      </w:r>
      <w:bookmarkStart w:id="6" w:name="_Ref157439411"/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Определение объема потребления электрической энергии (мощности) и оказанных услуг по передаче электрической энергии осуществляется на основании: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338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- показаний индивидуальных приборов учета</w:t>
      </w:r>
      <w:r>
        <w:rPr>
          <w:rFonts w:ascii="Calibri" w:hAnsi="Calibri" w:eastAsia="Calibri" w:cs="Times New Roman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жилого помещения, а также коллективного (общедомового) прибора учета многоквартирного дома, на общедомовые нужды, при выборе способа непосредственного управления либо при не выбранном способе управления имуществом данного многоквартирного дома, в т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ом числе включенных в состав измерительных комплексов, систем учета и приборов учета электрической энергии, присоединенных к интеллектуальным системам учета электрической энергии (мощности), и интеллектуальных систем учета электрической энергии (мощности);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338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- отсутствия актуальных показаний или непригодности к расчетам индивидуального и (или) коллективного (общедомового) прибора учет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а, при выборе способа непосредственного управления либо при не выбранном способе управления имуществом данного многоквартирного дома, измерительных комплексов - на основании расчетных способов, в соответствии с требованиями действующего законодательства РФ</w:t>
      </w:r>
      <w:bookmarkEnd w:id="5"/>
      <w:r/>
      <w:bookmarkEnd w:id="6"/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. 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338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jc w:val="center"/>
        <w:spacing w:after="0" w:line="216" w:lineRule="auto"/>
        <w:shd w:val="clear" w:color="auto" w:fill="ffffff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5. Порядок расчета стоимости потреблённой электрической энергии и оказанных услуг.</w:t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3231515</wp:posOffset>
                </wp:positionH>
                <wp:positionV relativeFrom="paragraph">
                  <wp:posOffset>507568</wp:posOffset>
                </wp:positionV>
                <wp:extent cx="466725" cy="152400"/>
                <wp:effectExtent l="6985" t="8890" r="12065" b="10160"/>
                <wp:wrapNone/>
                <wp:docPr id="1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0" o:spt="1" type="#_x0000_t1" style="position:absolute;z-index:251668480;o:allowoverlap:true;o:allowincell:true;mso-position-horizontal-relative:text;margin-left:254.45pt;mso-position-horizontal:absolute;mso-position-vertical-relative:text;margin-top:39.97pt;mso-position-vertical:absolute;width:36.75pt;height:12.00pt;mso-wrap-distance-left:9.00pt;mso-wrap-distance-top:0.00pt;mso-wrap-distance-right:9.00pt;mso-wrap-distance-bottom:0.00pt;visibility:visible;" fillcolor="#FFFFF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5.1. </w:t>
      </w:r>
      <w:bookmarkStart w:id="7" w:name="_Ref157478932"/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Поставщик на основании объёма потреблённой электрической энерги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и и оказанных услуг по её передаче, определённого согласно требованиям, п.4.1. настоящего договора, производит расчёт и начисление за расчетный период, а также передачу Потребителю информации платежных документов, одним из выбранных Потребителем способом: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а) путём размещения информации в системе ГИС ЖКХ             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(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да/нет);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4274297</wp:posOffset>
                </wp:positionH>
                <wp:positionV relativeFrom="paragraph">
                  <wp:posOffset>128144</wp:posOffset>
                </wp:positionV>
                <wp:extent cx="466725" cy="152400"/>
                <wp:effectExtent l="8890" t="9525" r="10160" b="9525"/>
                <wp:wrapNone/>
                <wp:docPr id="2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1" o:spid="_x0000_s1" o:spt="1" type="#_x0000_t1" style="position:absolute;z-index:251667456;o:allowoverlap:true;o:allowincell:true;mso-position-horizontal-relative:text;margin-left:336.56pt;mso-position-horizontal:absolute;mso-position-vertical-relative:text;margin-top:10.09pt;mso-position-vertical:absolute;width:36.75pt;height:12.00pt;mso-wrap-distance-left:9.00pt;mso-wrap-distance-top:0.00pt;mso-wrap-distance-right:9.00pt;mso-wrap-distance-bottom:0.00pt;visibility:visible;" fillcolor="#FFFFF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б) путём размещения информации в информационной системе Поставщика, доступ к которой осуществляется через личный кабинет физического лица на сайте Поставщика </w:t>
      </w:r>
      <w:hyperlink r:id="rId13" w:tooltip="http://www.saratovenergo.ru" w:history="1">
        <w:r>
          <w:rPr>
            <w:rFonts w:ascii="Times New Roman" w:hAnsi="Times New Roman" w:eastAsia="Times New Roman" w:cs="Times New Roman"/>
            <w:color w:val="0000ff"/>
            <w:sz w:val="20"/>
            <w:szCs w:val="20"/>
            <w:u w:val="single"/>
            <w:lang w:eastAsia="ru-RU"/>
          </w:rPr>
          <w:t xml:space="preserve">www.saratovenergo.ru</w:t>
        </w:r>
      </w:hyperlink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_______ (да/нет);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left="851" w:hanging="567"/>
        <w:jc w:val="both"/>
        <w:spacing w:after="0" w:line="216" w:lineRule="auto"/>
        <w:shd w:val="clear" w:color="auto" w:fill="ffffff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65314</wp:posOffset>
                </wp:positionH>
                <wp:positionV relativeFrom="paragraph">
                  <wp:posOffset>124691</wp:posOffset>
                </wp:positionV>
                <wp:extent cx="466725" cy="152400"/>
                <wp:effectExtent l="0" t="0" r="28575" b="19050"/>
                <wp:wrapNone/>
                <wp:docPr id="3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2" o:spid="_x0000_s2" o:spt="1" type="#_x0000_t1" style="position:absolute;z-index:251669504;o:allowoverlap:true;o:allowincell:true;mso-position-horizontal-relative:margin;margin-left:5.14pt;mso-position-horizontal:absolute;mso-position-vertical-relative:text;margin-top:9.82pt;mso-position-vertical:absolute;width:36.75pt;height:12.00pt;mso-wrap-distance-left:9.00pt;mso-wrap-distance-top:0.00pt;mso-wrap-distance-right:9.00pt;mso-wrap-distance-bottom:0.00pt;visibility:visible;" fillcolor="#FFFFF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в) путём отправки информации по адресу электронной почты потребителя ______________________________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_  (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да/нет);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1138200</wp:posOffset>
                </wp:positionH>
                <wp:positionV relativeFrom="paragraph">
                  <wp:posOffset>382270</wp:posOffset>
                </wp:positionV>
                <wp:extent cx="466725" cy="152400"/>
                <wp:effectExtent l="6985" t="10160" r="12065" b="8890"/>
                <wp:wrapNone/>
                <wp:docPr id="4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3" o:spid="_x0000_s3" o:spt="1" type="#_x0000_t1" style="position:absolute;z-index:251670528;o:allowoverlap:true;o:allowincell:true;mso-position-horizontal-relative:text;margin-left:89.62pt;mso-position-horizontal:absolute;mso-position-vertical-relative:text;margin-top:30.10pt;mso-position-vertical:absolute;width:36.75pt;height:12.00pt;mso-wrap-distance-left:9.00pt;mso-wrap-distance-top:0.00pt;mso-wrap-distance-right:9.00pt;mso-wrap-distance-bottom:0.00pt;visibility:visible;" fillcolor="#FFFFF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4495053</wp:posOffset>
                </wp:positionH>
                <wp:positionV relativeFrom="paragraph">
                  <wp:posOffset>515397</wp:posOffset>
                </wp:positionV>
                <wp:extent cx="466725" cy="152400"/>
                <wp:effectExtent l="9525" t="10795" r="9525" b="8255"/>
                <wp:wrapNone/>
                <wp:docPr id="5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672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4" o:spid="_x0000_s4" o:spt="1" type="#_x0000_t1" style="position:absolute;z-index:251671552;o:allowoverlap:true;o:allowincell:true;mso-position-horizontal-relative:text;margin-left:353.94pt;mso-position-horizontal:absolute;mso-position-vertical-relative:text;margin-top:40.58pt;mso-position-vertical:absolute;width:36.75pt;height:12.00pt;mso-wrap-distance-left:9.00pt;mso-wrap-distance-top:0.00pt;mso-wrap-distance-right:9.00pt;mso-wrap-distance-bottom:0.00pt;visibility:visible;" fillcolor="#FFFFFF" strokecolor="#000000" strokeweight="0.75pt"/>
            </w:pict>
          </mc:Fallback>
        </mc:AlternateConten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г) путём отправки информации (SMS), на номер мобильной (сотовой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) связи потребителя _________________________________, направленного с номера мобильной (сотовой) связи Поставщика __________________________, содержащего ссылку на место размещения платёжного документа в информационной системе Поставщика _______ (да/нет);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д) путём доставки Потребителю платёжного документа на бумажном носителе _______ (да/нет).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5.2. Потребитель на основании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информации платежных документов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пол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ученной Потребителем, согласно требованиям, п.5.1 настоящего договора, производит оплату на расчётный счёт Поставщика в срок д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  <w:lang w:eastAsia="ru-RU"/>
        </w:rPr>
        <w:t xml:space="preserve">о 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  <w:lang w:eastAsia="ru-RU"/>
        </w:rPr>
        <w:t xml:space="preserve">15 числа</w:t>
      </w:r>
      <w:r>
        <w:rPr>
          <w:rFonts w:ascii="Times New Roman" w:hAnsi="Times New Roman" w:eastAsia="Times New Roman" w:cs="Times New Roman"/>
          <w:sz w:val="20"/>
          <w:szCs w:val="20"/>
          <w:highlight w:val="white"/>
          <w:lang w:eastAsia="ru-RU"/>
        </w:rPr>
        <w:t xml:space="preserve"> м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есяца, следующего за месяцем, в котором осуществлялось потребление электрической энергии и оказание Потребителю услуг.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Потребитель для производства оплаты на расчётный счёт Поставщика вправе выбрать любую организацию, осуществляющую приём платежей от граждан-потребителей, при этом комиссионные сборы данной организации оплачиваются потребителем самостоятельно.</w:t>
      </w:r>
      <w:bookmarkEnd w:id="7"/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5.3. Оплата считается произведенной Потребителем со дня зачисления денежных средств на расчётный счет Поставщика.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1137285</wp:posOffset>
                </wp:positionH>
                <wp:positionV relativeFrom="paragraph">
                  <wp:posOffset>259080</wp:posOffset>
                </wp:positionV>
                <wp:extent cx="151130" cy="151130"/>
                <wp:effectExtent l="0" t="0" r="1270" b="1270"/>
                <wp:wrapNone/>
                <wp:docPr id="6" name="Рисунок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position:absolute;z-index:251659264;o:allowoverlap:true;o:allowincell:true;mso-position-horizontal-relative:text;margin-left:89.55pt;mso-position-horizontal:absolute;mso-position-vertical-relative:text;margin-top:20.40pt;mso-position-vertical:absolute;width:11.90pt;height:11.90pt;mso-wrap-distance-left:9.00pt;mso-wrap-distance-top:0.00pt;mso-wrap-distance-right:9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5.4. В расчётах по настоящему договору применяется действующий тариф, утверждённый постановлением Комитета государственного регулирования тарифов Саратовской области: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spacing w:after="0" w:line="216" w:lineRule="auto"/>
        <w:shd w:val="clear" w:color="auto" w:fill="ffffff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3552190</wp:posOffset>
                </wp:positionH>
                <wp:positionV relativeFrom="paragraph">
                  <wp:posOffset>120015</wp:posOffset>
                </wp:positionV>
                <wp:extent cx="151130" cy="151130"/>
                <wp:effectExtent l="0" t="0" r="1270" b="1270"/>
                <wp:wrapNone/>
                <wp:docPr id="7" name="Рисунок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5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position:absolute;z-index:251672576;o:allowoverlap:true;o:allowincell:true;mso-position-horizontal-relative:text;margin-left:279.70pt;mso-position-horizontal:absolute;mso-position-vertical-relative:text;margin-top:9.45pt;mso-position-vertical:absolute;width:11.90pt;height:11.90pt;mso-wrap-distance-left:9.00pt;mso-wrap-distance-top:0.00pt;mso-wrap-distance-right:9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одноставочный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 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spacing w:after="0" w:line="216" w:lineRule="auto"/>
        <w:shd w:val="clear" w:color="auto" w:fill="ffffff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одноставочный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, дифференцированный по двум зонам суток   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spacing w:after="0" w:line="216" w:lineRule="auto"/>
        <w:shd w:val="clear" w:color="auto" w:fill="ffffff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3552190</wp:posOffset>
                </wp:positionH>
                <wp:positionV relativeFrom="paragraph">
                  <wp:posOffset>8255</wp:posOffset>
                </wp:positionV>
                <wp:extent cx="151130" cy="151130"/>
                <wp:effectExtent l="0" t="0" r="1270" b="1270"/>
                <wp:wrapNone/>
                <wp:docPr id="8" name="Рисунок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position:absolute;z-index:251673600;o:allowoverlap:true;o:allowincell:true;mso-position-horizontal-relative:text;margin-left:279.70pt;mso-position-horizontal:absolute;mso-position-vertical-relative:text;margin-top:0.65pt;mso-position-vertical:absolute;width:11.90pt;height:11.90pt;mso-wrap-distance-left:9.00pt;mso-wrap-distance-top:0.00pt;mso-wrap-distance-right:9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-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одноставочный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, дифференцированный по трем зонам суток  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spacing w:after="0" w:line="216" w:lineRule="auto"/>
        <w:shd w:val="clear" w:color="auto" w:fill="ffffff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4821555</wp:posOffset>
                </wp:positionH>
                <wp:positionV relativeFrom="paragraph">
                  <wp:posOffset>132715</wp:posOffset>
                </wp:positionV>
                <wp:extent cx="151130" cy="151130"/>
                <wp:effectExtent l="0" t="0" r="1270" b="1270"/>
                <wp:wrapNone/>
                <wp:docPr id="9" name="Рисунок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7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position:absolute;z-index:251674624;o:allowoverlap:true;o:allowincell:true;mso-position-horizontal-relative:text;margin-left:379.65pt;mso-position-horizontal:absolute;mso-position-vertical-relative:text;margin-top:10.45pt;mso-position-vertical:absolute;width:11.90pt;height:11.90pt;mso-wrap-distance-left:9.00pt;mso-wrap-distance-top:0.00pt;mso-wrap-distance-right:9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установленный для группы потребителей: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spacing w:after="0" w:line="216" w:lineRule="auto"/>
        <w:shd w:val="clear" w:color="auto" w:fill="ffffff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а) население, проживающее в городских населенных пунктах и приравненные к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ним:  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 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spacing w:after="0" w:line="216" w:lineRule="auto"/>
        <w:shd w:val="clear" w:color="auto" w:fill="ffffff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4752340</wp:posOffset>
                </wp:positionH>
                <wp:positionV relativeFrom="paragraph">
                  <wp:posOffset>254635</wp:posOffset>
                </wp:positionV>
                <wp:extent cx="151130" cy="151130"/>
                <wp:effectExtent l="0" t="0" r="1270" b="1270"/>
                <wp:wrapNone/>
                <wp:docPr id="10" name="Рисунок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9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position:absolute;z-index:251676672;o:allowoverlap:true;o:allowincell:true;mso-position-horizontal-relative:text;margin-left:374.20pt;mso-position-horizontal:absolute;mso-position-vertical-relative:text;margin-top:20.05pt;mso-position-vertical:absolute;width:11.90pt;height:11.90pt;mso-wrap-distance-left:9.00pt;mso-wrap-distance-top:0.00pt;mso-wrap-distance-right:9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5554345</wp:posOffset>
                </wp:positionH>
                <wp:positionV relativeFrom="paragraph">
                  <wp:posOffset>118110</wp:posOffset>
                </wp:positionV>
                <wp:extent cx="151130" cy="151130"/>
                <wp:effectExtent l="0" t="0" r="1270" b="1270"/>
                <wp:wrapNone/>
                <wp:docPr id="1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8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position:absolute;z-index:251675648;o:allowoverlap:true;o:allowincell:true;mso-position-horizontal-relative:text;margin-left:437.35pt;mso-position-horizontal:absolute;mso-position-vertical-relative:text;margin-top:9.30pt;mso-position-vertical:absolute;width:11.90pt;height:11.90pt;mso-wrap-distance-left:9.00pt;mso-wrap-distance-top:0.00pt;mso-wrap-distance-right:9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б) население, проживающее в городских населенных пунктах в домах, оборудованных в установленном порядке стационарными электро-плитами и (или) электроотопительными установками, и приравненные к ним   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spacing w:after="0" w:line="216" w:lineRule="auto"/>
        <w:shd w:val="clear" w:color="auto" w:fill="ffffff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в) население, проживающее в сельских населенных пунктах, и приравненные к ним   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spacing w:after="0" w:line="216" w:lineRule="auto"/>
        <w:shd w:val="clear" w:color="auto" w:fill="ffffff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2550795</wp:posOffset>
                </wp:positionH>
                <wp:positionV relativeFrom="paragraph">
                  <wp:posOffset>1905</wp:posOffset>
                </wp:positionV>
                <wp:extent cx="151130" cy="151130"/>
                <wp:effectExtent l="0" t="0" r="1270" b="1270"/>
                <wp:wrapNone/>
                <wp:docPr id="12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0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151130" cy="1511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1" o:spid="_x0000_s11" type="#_x0000_t75" style="position:absolute;z-index:251677696;o:allowoverlap:true;o:allowincell:true;mso-position-horizontal-relative:text;margin-left:200.85pt;mso-position-horizontal:absolute;mso-position-vertical-relative:text;margin-top:0.15pt;mso-position-vertical:absolute;width:11.90pt;height:11.90pt;mso-wrap-distance-left:9.00pt;mso-wrap-distance-top:0.00pt;mso-wrap-distance-right:9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г) потребители, приравненные к населению  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  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5.5. Изменение стоимости тарифа на электрическую энергию, поставляемую по настоящему договору, производится с даты, указанной в решении органа исполнительной власти субъекта Российской Федерации в области государственного регулирования тарифов.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5.6. При нарушении потребителем сроков оплаты за приобретаемую по настоящему договору электрическую энергию, Потребитель уплачивает поставщику неустойку, рассчитанную поставщиком в соответствии с требованиями действующего законодательства РФ.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left="-180"/>
        <w:jc w:val="center"/>
        <w:spacing w:after="0" w:line="216" w:lineRule="auto"/>
        <w:shd w:val="clear" w:color="auto" w:fill="ffffff"/>
        <w:widowControl w:val="off"/>
        <w:tabs>
          <w:tab w:val="left" w:pos="338" w:leader="none"/>
        </w:tabs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6. Прочие условия.</w:t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338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6.1. При исполнении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настоящего договора, а также решении вопросов, не предусмотренных настоящим договором, стороны руководствуются действующими законодательными актами РФ и иными нормативными правовыми актами, регулирующими отношения на розничных рынках электрической энергии.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338" w:leader="none"/>
          <w:tab w:val="left" w:pos="540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6.2. Потребитель, подписав настоящий договор, в соответствии с Федеральным законом «О персональных данных» от 27.07.2006г. № 152-ФЗ своей волей и в св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оем интересе выражает Поставщику, зарегистрированному по адресу: Российская Федерация, Саратовская область, г. Саратов, ул. им. Мичурина И.В., д.166/168, своё согласие на обработку, включая сбор (в том числе от третьих лиц, путем направления запросов в орг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аны государственной власти, органы местного самоуправления, из иных информационных ресурсов, из архивов, из информационных ресурсов МВД России), систематизацию, накопление, хранение, уточнение (обновление, изменение), использование, распространение (в том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числе передачу), обезличивание, уничтожение персональных данных Потребителя (Ф.И.О., даты и места рождения, места жительства (регистрации), паспортных данных номера телефона, реквизитов и данных по платежам) с использованием средств а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втоматизации или без использования таких средств. Указанные потребителем персональные данные предоставляются в целях обеспечения исполнения Сторонами условий настоящего договора энергоснабжения в соответствии с действующим законодательством РФ. Согласие вс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тупает в силу со дня передачи Потребителем Поставщику своих персональных данных и действует до момента прекращения действия (расторжения) настоящего договора энергоснабжения. Договор может быть передан системообразующей территориальной сетевой организации.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338" w:leader="none"/>
          <w:tab w:val="left" w:pos="540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6.3. При изменении цели использования электрической энергии с коммунально-бытового электропотребления на коммерческую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(профессиональная) деятельность (получение прибыли) Стороны расторгают настоящий договор, с возможностью последующего заключения иного договора для соответствующей группы потребителей, с применением свободных (нерегулируемых) цен на электрическую энергию. 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shd w:val="clear" w:color="auto" w:fill="ffffff"/>
        <w:widowControl w:val="off"/>
        <w:tabs>
          <w:tab w:val="left" w:pos="338" w:leader="none"/>
          <w:tab w:val="left" w:pos="5400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6.4. Порядок установления факта прекращения поставки потребителю электрической энергии и (или) поставки потребителю электрической энергии ненадлежащего качества, регламентируется требованиями действующего законодательства РФ;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192" w:lineRule="auto"/>
        <w:shd w:val="clear" w:color="auto" w:fill="ffffff"/>
        <w:widowControl w:val="off"/>
        <w:tabs>
          <w:tab w:val="left" w:pos="338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6.5. Все споры, возникшие в связи с исполнением настоящего договора, в случае, когда истцом является Поставщик, рассматриваются судом по месту нахождения объекта энергоснабжения, ра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сположенного по адресу, указанному в п.1.2. настоящего договора. Все споры, возникшие в связи с исполнением настоящего договора, в случае, когда истцом является Потребитель, рассматриваются судом по правилам подсудности, установленным законодательством РФ.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192" w:lineRule="auto"/>
        <w:shd w:val="clear" w:color="auto" w:fill="ffffff"/>
        <w:widowControl w:val="off"/>
        <w:tabs>
          <w:tab w:val="left" w:pos="338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192" w:lineRule="auto"/>
        <w:shd w:val="clear" w:color="auto" w:fill="ffffff"/>
        <w:widowControl w:val="off"/>
        <w:tabs>
          <w:tab w:val="left" w:pos="338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center"/>
        <w:spacing w:after="0" w:line="216" w:lineRule="auto"/>
        <w:widowControl w:val="off"/>
        <w:tabs>
          <w:tab w:val="left" w:pos="1134" w:leader="none"/>
          <w:tab w:val="num" w:pos="1224" w:leader="none"/>
        </w:tabs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  <w:t xml:space="preserve">7. Срок действия и порядок изменения договора</w:t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widowControl w:val="off"/>
        <w:tabs>
          <w:tab w:val="left" w:pos="1134" w:leader="none"/>
          <w:tab w:val="num" w:pos="1224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7.1. Настоящий договор энергоснабжения вступает в силу с 00.00 часов «__» ___ 202__г. и действует до момента перехода от Потребителя к иному лицу прав собственности или иных з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аконных прав владения и (или) пользования, предусмотренных законодательством РФ на объект энергоснабжения, указанный в п.1.2. настоящего договора, либо до даты указанной, в заключенном Сторонами соглашении о расторжении настоящего договора энергоснабжения.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widowControl w:val="off"/>
        <w:tabs>
          <w:tab w:val="left" w:pos="1134" w:leader="none"/>
          <w:tab w:val="num" w:pos="1224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7.2. Изменение настоящего договора совершается в форме дополнительного соглашения к настоящему договору, подписанного уполномоченными представителями Сторон.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widowControl w:val="off"/>
        <w:tabs>
          <w:tab w:val="left" w:pos="1134" w:leader="none"/>
          <w:tab w:val="num" w:pos="1224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  <w:t xml:space="preserve">7.3. Настоящий договор может быть расторгнут по инициативе одной из Сторон, на основаниях и в порядке, предусмотренном требованиями действующего законодательства РФ.</w:t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both"/>
        <w:spacing w:after="0" w:line="216" w:lineRule="auto"/>
        <w:widowControl w:val="off"/>
        <w:tabs>
          <w:tab w:val="left" w:pos="1134" w:leader="none"/>
          <w:tab w:val="num" w:pos="1224" w:leader="none"/>
        </w:tabs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pPr>
        <w:ind w:firstLine="284"/>
        <w:jc w:val="center"/>
        <w:spacing w:after="0" w:line="216" w:lineRule="auto"/>
        <w:shd w:val="clear" w:color="auto" w:fill="ffffff"/>
        <w:widowControl w:val="off"/>
        <w:tabs>
          <w:tab w:val="left" w:pos="338" w:leader="none"/>
        </w:tabs>
        <w:rPr>
          <w:rFonts w:ascii="Times New Roman" w:hAnsi="Times New Roman" w:eastAsia="Times New Roman" w:cs="Times New Roman"/>
          <w:b/>
          <w:spacing w:val="-14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b/>
          <w:spacing w:val="-14"/>
          <w:sz w:val="20"/>
          <w:szCs w:val="20"/>
          <w:lang w:eastAsia="ru-RU"/>
        </w:rPr>
        <w:t xml:space="preserve">8. Реквизиты сторон</w:t>
      </w:r>
      <w:r>
        <w:rPr>
          <w:rFonts w:ascii="Times New Roman" w:hAnsi="Times New Roman" w:eastAsia="Times New Roman" w:cs="Times New Roman"/>
          <w:b/>
          <w:spacing w:val="-14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b/>
          <w:spacing w:val="-14"/>
          <w:sz w:val="20"/>
          <w:szCs w:val="20"/>
          <w:lang w:eastAsia="ru-RU"/>
        </w:rPr>
      </w:r>
    </w:p>
    <w:tbl>
      <w:tblPr>
        <w:tblW w:w="10588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5485"/>
      </w:tblGrid>
      <w:tr>
        <w:tblPrEx/>
        <w:trPr>
          <w:trHeight w:val="60"/>
        </w:trPr>
        <w:tc>
          <w:tcPr>
            <w:shd w:val="clear" w:color="auto" w:fill="auto"/>
            <w:tcW w:w="5103" w:type="dxa"/>
            <w:textDirection w:val="lrTb"/>
            <w:noWrap w:val="false"/>
          </w:tcPr>
          <w:p>
            <w:pPr>
              <w:ind w:left="-180" w:right="-1" w:firstLine="180"/>
              <w:jc w:val="center"/>
              <w:spacing w:after="0" w:line="216" w:lineRule="auto"/>
              <w:widowControl w:val="off"/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4"/>
                <w:sz w:val="20"/>
                <w:szCs w:val="20"/>
                <w:lang w:eastAsia="ru-RU"/>
              </w:rPr>
              <w:t xml:space="preserve">Поставщик: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5485" w:type="dxa"/>
            <w:textDirection w:val="lrTb"/>
            <w:noWrap w:val="false"/>
          </w:tcPr>
          <w:p>
            <w:pPr>
              <w:ind w:left="-180" w:right="-1" w:firstLine="180"/>
              <w:jc w:val="center"/>
              <w:spacing w:after="0" w:line="216" w:lineRule="auto"/>
              <w:widowControl w:val="off"/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4"/>
                <w:sz w:val="20"/>
                <w:szCs w:val="20"/>
                <w:lang w:eastAsia="ru-RU"/>
              </w:rPr>
              <w:t xml:space="preserve">Потребитель: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1701"/>
        </w:trPr>
        <w:tc>
          <w:tcPr>
            <w:shd w:val="clear" w:color="auto" w:fill="auto"/>
            <w:tcW w:w="5103" w:type="dxa"/>
            <w:textDirection w:val="lrTb"/>
            <w:noWrap w:val="false"/>
          </w:tcPr>
          <w:p>
            <w:pPr>
              <w:ind w:left="-180" w:right="-1" w:firstLine="180"/>
              <w:jc w:val="both"/>
              <w:spacing w:after="0" w:line="216" w:lineRule="auto"/>
              <w:widowControl w:val="off"/>
              <w:tabs>
                <w:tab w:val="left" w:pos="4783" w:leader="underscore"/>
              </w:tabs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Адрес: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</w:p>
          <w:p>
            <w:pPr>
              <w:ind w:left="-180" w:right="-1" w:firstLine="180"/>
              <w:jc w:val="both"/>
              <w:spacing w:after="0" w:line="216" w:lineRule="auto"/>
              <w:widowControl w:val="off"/>
              <w:tabs>
                <w:tab w:val="left" w:pos="4783" w:leader="underscore"/>
              </w:tabs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ул.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</w:p>
          <w:p>
            <w:pPr>
              <w:ind w:left="-180" w:right="-1" w:firstLine="180"/>
              <w:jc w:val="both"/>
              <w:spacing w:after="0" w:line="216" w:lineRule="auto"/>
              <w:widowControl w:val="off"/>
              <w:tabs>
                <w:tab w:val="left" w:pos="4783" w:leader="underscore"/>
              </w:tabs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Банковские реквизиты: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</w:p>
          <w:p>
            <w:pPr>
              <w:ind w:left="-180" w:right="-1" w:firstLine="180"/>
              <w:jc w:val="both"/>
              <w:spacing w:after="0" w:line="216" w:lineRule="auto"/>
              <w:widowControl w:val="off"/>
              <w:tabs>
                <w:tab w:val="left" w:pos="4783" w:leader="underscore"/>
              </w:tabs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р/с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</w:p>
          <w:p>
            <w:pPr>
              <w:ind w:left="-180" w:right="-1" w:firstLine="180"/>
              <w:jc w:val="both"/>
              <w:spacing w:after="0" w:line="216" w:lineRule="auto"/>
              <w:widowControl w:val="off"/>
              <w:tabs>
                <w:tab w:val="left" w:pos="4783" w:leader="underscore"/>
              </w:tabs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БИК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</w:p>
          <w:p>
            <w:pPr>
              <w:ind w:left="-180" w:right="-1" w:firstLine="180"/>
              <w:jc w:val="both"/>
              <w:spacing w:after="0" w:line="216" w:lineRule="auto"/>
              <w:widowControl w:val="off"/>
              <w:tabs>
                <w:tab w:val="left" w:pos="4783" w:leader="underscore"/>
              </w:tabs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ИНН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</w:p>
          <w:p>
            <w:pPr>
              <w:ind w:left="-180" w:right="-1" w:firstLine="180"/>
              <w:jc w:val="both"/>
              <w:spacing w:after="0" w:line="216" w:lineRule="auto"/>
              <w:widowControl w:val="off"/>
              <w:tabs>
                <w:tab w:val="left" w:pos="4783" w:leader="underscore"/>
              </w:tabs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ОКОНХ, ОКВЭД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</w:p>
          <w:p>
            <w:pPr>
              <w:ind w:left="-180" w:right="-1" w:firstLine="180"/>
              <w:spacing w:after="0" w:line="216" w:lineRule="auto"/>
              <w:widowControl w:val="off"/>
              <w:tabs>
                <w:tab w:val="left" w:pos="4783" w:leader="underscore"/>
              </w:tabs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ОКПО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</w:p>
          <w:p>
            <w:pPr>
              <w:ind w:left="-180" w:right="-1" w:firstLine="180"/>
              <w:spacing w:after="0" w:line="216" w:lineRule="auto"/>
              <w:widowControl w:val="off"/>
              <w:tabs>
                <w:tab w:val="left" w:pos="4783" w:leader="underscore"/>
              </w:tabs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Банк: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ab/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</w:p>
          <w:p>
            <w:pPr>
              <w:ind w:right="-1"/>
              <w:jc w:val="both"/>
              <w:spacing w:after="0" w:line="216" w:lineRule="auto"/>
              <w:widowControl w:val="off"/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5485" w:type="dxa"/>
            <w:textDirection w:val="lrTb"/>
            <w:noWrap w:val="false"/>
          </w:tcPr>
          <w:p>
            <w:pPr>
              <w:ind w:left="-180" w:right="-1" w:firstLine="180"/>
              <w:jc w:val="both"/>
              <w:spacing w:after="0" w:line="216" w:lineRule="auto"/>
              <w:widowControl w:val="off"/>
              <w:tabs>
                <w:tab w:val="left" w:pos="4783" w:leader="underscore"/>
              </w:tabs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Фамилия: ____________________________________________________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</w:p>
          <w:p>
            <w:pPr>
              <w:ind w:left="-180" w:right="-1" w:firstLine="180"/>
              <w:jc w:val="both"/>
              <w:spacing w:after="0" w:line="216" w:lineRule="auto"/>
              <w:widowControl w:val="off"/>
              <w:tabs>
                <w:tab w:val="left" w:pos="4783" w:leader="underscore"/>
              </w:tabs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Имя: ________________________________________________________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</w:p>
          <w:p>
            <w:pPr>
              <w:ind w:left="-180" w:right="-1" w:firstLine="180"/>
              <w:jc w:val="both"/>
              <w:spacing w:after="0" w:line="216" w:lineRule="auto"/>
              <w:widowControl w:val="off"/>
              <w:tabs>
                <w:tab w:val="left" w:pos="4783" w:leader="underscore"/>
              </w:tabs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Отчество: ____________________________________________________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</w:p>
          <w:p>
            <w:pPr>
              <w:ind w:right="-1"/>
              <w:jc w:val="both"/>
              <w:spacing w:after="0" w:line="216" w:lineRule="auto"/>
              <w:widowControl w:val="off"/>
              <w:tabs>
                <w:tab w:val="left" w:pos="4783" w:leader="underscore"/>
              </w:tabs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Наименование документа, удостоверяющего личность: _____________________________________________________________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</w:p>
          <w:p>
            <w:pPr>
              <w:ind w:right="-1"/>
              <w:jc w:val="both"/>
              <w:spacing w:after="0" w:line="216" w:lineRule="auto"/>
              <w:widowControl w:val="off"/>
              <w:tabs>
                <w:tab w:val="left" w:pos="4783" w:leader="underscore"/>
              </w:tabs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серия _______________номер __________________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</w:p>
          <w:p>
            <w:pPr>
              <w:ind w:left="-180" w:right="-1" w:firstLine="180"/>
              <w:jc w:val="both"/>
              <w:spacing w:after="0" w:line="216" w:lineRule="auto"/>
              <w:widowControl w:val="off"/>
              <w:tabs>
                <w:tab w:val="left" w:pos="4783" w:leader="underscore"/>
              </w:tabs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Выдан: ______________________________________________________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</w:p>
          <w:p>
            <w:pPr>
              <w:ind w:left="-180" w:right="-1" w:firstLine="180"/>
              <w:jc w:val="both"/>
              <w:spacing w:after="0" w:line="216" w:lineRule="auto"/>
              <w:widowControl w:val="off"/>
              <w:tabs>
                <w:tab w:val="left" w:pos="4783" w:leader="underscore"/>
              </w:tabs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дата выдачи: _________________________________________________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</w:p>
          <w:p>
            <w:pPr>
              <w:ind w:left="-180" w:right="-1" w:firstLine="180"/>
              <w:jc w:val="both"/>
              <w:spacing w:after="0" w:line="216" w:lineRule="auto"/>
              <w:widowControl w:val="off"/>
              <w:tabs>
                <w:tab w:val="left" w:pos="4783" w:leader="underscore"/>
              </w:tabs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Место 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регистрации:_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__________________________________________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</w:p>
          <w:p>
            <w:pPr>
              <w:ind w:left="-180" w:right="-1" w:firstLine="180"/>
              <w:jc w:val="both"/>
              <w:spacing w:after="0" w:line="216" w:lineRule="auto"/>
              <w:widowControl w:val="off"/>
              <w:tabs>
                <w:tab w:val="left" w:pos="4783" w:leader="underscore"/>
              </w:tabs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Место 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рождения:_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____________________________________________ 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</w:p>
          <w:p>
            <w:pPr>
              <w:ind w:left="-180" w:right="-1" w:firstLine="180"/>
              <w:jc w:val="both"/>
              <w:spacing w:after="0" w:line="216" w:lineRule="auto"/>
              <w:widowControl w:val="off"/>
              <w:tabs>
                <w:tab w:val="left" w:pos="4783" w:leader="underscore"/>
              </w:tabs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Дата 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рождения:_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______________________________________________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</w:p>
          <w:p>
            <w:pPr>
              <w:ind w:left="-180" w:right="-1" w:firstLine="180"/>
              <w:jc w:val="both"/>
              <w:spacing w:after="0" w:line="216" w:lineRule="auto"/>
              <w:widowControl w:val="off"/>
              <w:tabs>
                <w:tab w:val="left" w:pos="4783" w:leader="underscore"/>
              </w:tabs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ИНН _______________________________________________________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</w:p>
          <w:p>
            <w:pPr>
              <w:ind w:left="-180" w:right="-1" w:firstLine="180"/>
              <w:jc w:val="both"/>
              <w:spacing w:after="0" w:line="216" w:lineRule="auto"/>
              <w:widowControl w:val="off"/>
              <w:tabs>
                <w:tab w:val="left" w:pos="4783" w:leader="underscore"/>
              </w:tabs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СНИЛС_____________________________________________________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</w:p>
          <w:p>
            <w:pPr>
              <w:ind w:left="-180" w:right="-1" w:firstLine="180"/>
              <w:jc w:val="both"/>
              <w:spacing w:after="0" w:line="216" w:lineRule="auto"/>
              <w:widowControl w:val="off"/>
              <w:tabs>
                <w:tab w:val="left" w:pos="4783" w:leader="underscore"/>
              </w:tabs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Адрес фактического проживания: _______________________________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</w:p>
          <w:p>
            <w:pPr>
              <w:ind w:left="-180" w:right="-1" w:firstLine="180"/>
              <w:jc w:val="both"/>
              <w:spacing w:after="0" w:line="216" w:lineRule="auto"/>
              <w:widowControl w:val="off"/>
              <w:tabs>
                <w:tab w:val="left" w:pos="4783" w:leader="underscore"/>
              </w:tabs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_____________________________________________________________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</w:p>
          <w:p>
            <w:pPr>
              <w:ind w:left="-180" w:right="-1" w:firstLine="180"/>
              <w:jc w:val="both"/>
              <w:spacing w:after="0" w:line="216" w:lineRule="auto"/>
              <w:widowControl w:val="off"/>
              <w:tabs>
                <w:tab w:val="left" w:pos="4783" w:leader="underscore"/>
              </w:tabs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</w:p>
        </w:tc>
      </w:tr>
      <w:tr>
        <w:tblPrEx/>
        <w:trPr>
          <w:trHeight w:val="713"/>
        </w:trPr>
        <w:tc>
          <w:tcPr>
            <w:shd w:val="clear" w:color="auto" w:fill="auto"/>
            <w:tcW w:w="5103" w:type="dxa"/>
            <w:textDirection w:val="lrTb"/>
            <w:noWrap w:val="false"/>
          </w:tcPr>
          <w:p>
            <w:pPr>
              <w:ind w:left="-180" w:right="-1" w:firstLine="252"/>
              <w:spacing w:after="0" w:line="216" w:lineRule="auto"/>
              <w:widowControl w:val="off"/>
              <w:rPr>
                <w:rFonts w:ascii="Times New Roman" w:hAnsi="Times New Roman" w:eastAsia="Times New Roman" w:cs="Times New Roman"/>
                <w:b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pacing w:val="-14"/>
                <w:sz w:val="20"/>
                <w:szCs w:val="20"/>
                <w:lang w:eastAsia="ru-RU"/>
              </w:rPr>
            </w:r>
          </w:p>
          <w:p>
            <w:pPr>
              <w:ind w:left="-180" w:right="-1" w:firstLine="252"/>
              <w:spacing w:after="0" w:line="216" w:lineRule="auto"/>
              <w:widowControl w:val="off"/>
              <w:rPr>
                <w:rFonts w:ascii="Times New Roman" w:hAnsi="Times New Roman" w:eastAsia="Times New Roman" w:cs="Times New Roman"/>
                <w:b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pacing w:val="-14"/>
                <w:sz w:val="20"/>
                <w:szCs w:val="20"/>
                <w:lang w:eastAsia="ru-RU"/>
              </w:rPr>
            </w:r>
          </w:p>
          <w:p>
            <w:pPr>
              <w:ind w:left="-180" w:right="-1" w:firstLine="252"/>
              <w:spacing w:after="0" w:line="216" w:lineRule="auto"/>
              <w:widowControl w:val="off"/>
              <w:rPr>
                <w:rFonts w:ascii="Times New Roman" w:hAnsi="Times New Roman" w:eastAsia="Times New Roman" w:cs="Times New Roman"/>
                <w:b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4"/>
                <w:sz w:val="20"/>
                <w:szCs w:val="20"/>
                <w:lang w:eastAsia="ru-RU"/>
              </w:rPr>
              <w:t xml:space="preserve">____________________________/____________________</w:t>
            </w:r>
            <w:r>
              <w:rPr>
                <w:rFonts w:ascii="Times New Roman" w:hAnsi="Times New Roman" w:eastAsia="Times New Roman" w:cs="Times New Roman"/>
                <w:b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pacing w:val="-14"/>
                <w:sz w:val="20"/>
                <w:szCs w:val="20"/>
                <w:lang w:eastAsia="ru-RU"/>
              </w:rPr>
            </w:r>
          </w:p>
          <w:p>
            <w:pPr>
              <w:ind w:left="-180" w:right="-1" w:firstLine="252"/>
              <w:jc w:val="center"/>
              <w:spacing w:after="0" w:line="216" w:lineRule="auto"/>
              <w:widowControl w:val="off"/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                                Ф.И.О.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</w:p>
          <w:p>
            <w:pPr>
              <w:ind w:left="-180" w:right="-1" w:firstLine="252"/>
              <w:spacing w:after="0" w:line="216" w:lineRule="auto"/>
              <w:widowControl w:val="off"/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М.П.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</w:p>
        </w:tc>
        <w:tc>
          <w:tcPr>
            <w:shd w:val="clear" w:color="auto" w:fill="auto"/>
            <w:tcW w:w="5485" w:type="dxa"/>
            <w:textDirection w:val="lrTb"/>
            <w:noWrap w:val="false"/>
          </w:tcPr>
          <w:p>
            <w:pPr>
              <w:ind w:left="-180" w:right="-1"/>
              <w:spacing w:after="0" w:line="216" w:lineRule="auto"/>
              <w:widowControl w:val="off"/>
              <w:rPr>
                <w:rFonts w:ascii="Times New Roman" w:hAnsi="Times New Roman" w:eastAsia="Times New Roman" w:cs="Times New Roman"/>
                <w:b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4"/>
                <w:sz w:val="20"/>
                <w:szCs w:val="20"/>
                <w:lang w:eastAsia="ru-RU"/>
              </w:rPr>
              <w:t xml:space="preserve">     </w:t>
            </w:r>
            <w:r>
              <w:rPr>
                <w:rFonts w:ascii="Times New Roman" w:hAnsi="Times New Roman" w:eastAsia="Times New Roman" w:cs="Times New Roman"/>
                <w:b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pacing w:val="-14"/>
                <w:sz w:val="20"/>
                <w:szCs w:val="20"/>
                <w:lang w:eastAsia="ru-RU"/>
              </w:rPr>
            </w:r>
          </w:p>
          <w:p>
            <w:pPr>
              <w:ind w:left="-180" w:right="-1"/>
              <w:spacing w:after="0" w:line="216" w:lineRule="auto"/>
              <w:widowControl w:val="off"/>
              <w:rPr>
                <w:rFonts w:ascii="Times New Roman" w:hAnsi="Times New Roman" w:eastAsia="Times New Roman" w:cs="Times New Roman"/>
                <w:b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pacing w:val="-14"/>
                <w:sz w:val="20"/>
                <w:szCs w:val="20"/>
                <w:lang w:eastAsia="ru-RU"/>
              </w:rPr>
            </w:r>
          </w:p>
          <w:p>
            <w:pPr>
              <w:ind w:left="-180" w:right="-1" w:firstLine="180"/>
              <w:spacing w:after="0" w:line="216" w:lineRule="auto"/>
              <w:widowControl w:val="off"/>
              <w:rPr>
                <w:rFonts w:ascii="Times New Roman" w:hAnsi="Times New Roman" w:eastAsia="Times New Roman" w:cs="Times New Roman"/>
                <w:b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b/>
                <w:spacing w:val="-14"/>
                <w:sz w:val="20"/>
                <w:szCs w:val="20"/>
                <w:lang w:eastAsia="ru-RU"/>
              </w:rPr>
              <w:t xml:space="preserve">____________________________/____________________</w:t>
            </w:r>
            <w:r>
              <w:rPr>
                <w:rFonts w:ascii="Times New Roman" w:hAnsi="Times New Roman" w:eastAsia="Times New Roman" w:cs="Times New Roman"/>
                <w:b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b/>
                <w:spacing w:val="-14"/>
                <w:sz w:val="20"/>
                <w:szCs w:val="20"/>
                <w:lang w:eastAsia="ru-RU"/>
              </w:rPr>
            </w:r>
          </w:p>
          <w:p>
            <w:pPr>
              <w:ind w:left="-180" w:right="-1" w:firstLine="180"/>
              <w:jc w:val="center"/>
              <w:spacing w:after="0" w:line="216" w:lineRule="auto"/>
              <w:widowControl w:val="off"/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  <w:t xml:space="preserve">                                Ф.И.О.</w:t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14"/>
                <w:sz w:val="20"/>
                <w:szCs w:val="20"/>
                <w:lang w:eastAsia="ru-RU"/>
              </w:rPr>
            </w:r>
          </w:p>
        </w:tc>
      </w:tr>
    </w:tbl>
    <w:p>
      <w:pPr>
        <w:ind w:left="-180"/>
        <w:spacing w:after="0" w:line="240" w:lineRule="auto"/>
        <w:widowControl w:val="off"/>
        <w:rPr>
          <w:rFonts w:ascii="Times New Roman" w:hAnsi="Times New Roman" w:eastAsia="Times New Roman" w:cs="Times New Roman"/>
          <w:sz w:val="20"/>
          <w:szCs w:val="20"/>
          <w:lang w:eastAsia="ru-RU"/>
        </w:rPr>
      </w:pP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  <w:r>
        <w:rPr>
          <w:rFonts w:ascii="Times New Roman" w:hAnsi="Times New Roman" w:eastAsia="Times New Roman" w:cs="Times New Roman"/>
          <w:sz w:val="20"/>
          <w:szCs w:val="20"/>
          <w:lang w:eastAsia="ru-RU"/>
        </w:rPr>
      </w:r>
    </w:p>
    <w:p>
      <w:r/>
      <w:r/>
    </w:p>
    <w:sectPr>
      <w:footerReference w:type="default" r:id="rId9"/>
      <w:footnotePr/>
      <w:endnotePr/>
      <w:type w:val="nextPage"/>
      <w:pgSz w:w="11906" w:h="16838" w:orient="portrait"/>
      <w:pgMar w:top="426" w:right="566" w:bottom="709" w:left="1134" w:header="708" w:footer="1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sdt>
    <w:sdtPr>
      <w15:appearance w15:val="boundingBox"/>
      <w:id w:val="-684748682"/>
      <w:docPartObj>
        <w:docPartGallery w:val="Page Numbers (Bottom of Page)"/>
        <w:docPartUnique w:val="true"/>
      </w:docPartObj>
      <w:rPr/>
    </w:sdtPr>
    <w:sdtContent>
      <w:p>
        <w:pPr>
          <w:pStyle w:val="879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 xml:space="preserve">5</w:t>
        </w:r>
        <w:r>
          <w:fldChar w:fldCharType="end"/>
        </w:r>
        <w:r/>
      </w:p>
    </w:sdtContent>
  </w:sdt>
  <w:p>
    <w:pPr>
      <w:pStyle w:val="87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0" w:hanging="360"/>
      </w:pPr>
    </w:lvl>
    <w:lvl w:ilvl="1">
      <w:start w:val="1"/>
      <w:numFmt w:val="decimal"/>
      <w:isLgl w:val="false"/>
      <w:suff w:val="tab"/>
      <w:lvlText w:val="%1.%2."/>
      <w:lvlJc w:val="left"/>
      <w:pPr>
        <w:ind w:left="2912" w:hanging="36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1108" w:hanging="36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1932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396" w:hanging="72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860" w:hanging="72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684" w:hanging="108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4148" w:hanging="108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612" w:hanging="10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80" w:hanging="360"/>
      </w:pPr>
      <w:rPr>
        <w:rFonts w:hint="default"/>
      </w:rPr>
    </w:lvl>
    <w:lvl w:ilvl="1">
      <w:start w:val="1"/>
      <w:numFmt w:val="decimal"/>
      <w:isLgl/>
      <w:suff w:val="tab"/>
      <w:lvlText w:val="%1.%2."/>
      <w:lvlJc w:val="left"/>
      <w:pPr>
        <w:ind w:left="2912" w:hanging="36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108" w:hanging="36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932" w:hanging="72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2396" w:hanging="72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860" w:hanging="72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3684" w:hanging="108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4148" w:hanging="108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4612" w:hanging="108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82">
    <w:name w:val="Heading 1 Char"/>
    <w:basedOn w:val="707"/>
    <w:link w:val="698"/>
    <w:uiPriority w:val="9"/>
    <w:rPr>
      <w:rFonts w:ascii="Arial" w:hAnsi="Arial" w:eastAsia="Arial" w:cs="Arial"/>
      <w:sz w:val="40"/>
      <w:szCs w:val="40"/>
    </w:rPr>
  </w:style>
  <w:style w:type="character" w:styleId="683">
    <w:name w:val="Heading 2 Char"/>
    <w:basedOn w:val="707"/>
    <w:link w:val="699"/>
    <w:uiPriority w:val="9"/>
    <w:rPr>
      <w:rFonts w:ascii="Arial" w:hAnsi="Arial" w:eastAsia="Arial" w:cs="Arial"/>
      <w:sz w:val="34"/>
    </w:rPr>
  </w:style>
  <w:style w:type="character" w:styleId="684">
    <w:name w:val="Heading 3 Char"/>
    <w:basedOn w:val="707"/>
    <w:link w:val="700"/>
    <w:uiPriority w:val="9"/>
    <w:rPr>
      <w:rFonts w:ascii="Arial" w:hAnsi="Arial" w:eastAsia="Arial" w:cs="Arial"/>
      <w:sz w:val="30"/>
      <w:szCs w:val="30"/>
    </w:rPr>
  </w:style>
  <w:style w:type="character" w:styleId="685">
    <w:name w:val="Heading 4 Char"/>
    <w:basedOn w:val="707"/>
    <w:link w:val="701"/>
    <w:uiPriority w:val="9"/>
    <w:rPr>
      <w:rFonts w:ascii="Arial" w:hAnsi="Arial" w:eastAsia="Arial" w:cs="Arial"/>
      <w:b/>
      <w:bCs/>
      <w:sz w:val="26"/>
      <w:szCs w:val="26"/>
    </w:rPr>
  </w:style>
  <w:style w:type="character" w:styleId="686">
    <w:name w:val="Heading 5 Char"/>
    <w:basedOn w:val="707"/>
    <w:link w:val="702"/>
    <w:uiPriority w:val="9"/>
    <w:rPr>
      <w:rFonts w:ascii="Arial" w:hAnsi="Arial" w:eastAsia="Arial" w:cs="Arial"/>
      <w:b/>
      <w:bCs/>
      <w:sz w:val="24"/>
      <w:szCs w:val="24"/>
    </w:rPr>
  </w:style>
  <w:style w:type="character" w:styleId="687">
    <w:name w:val="Heading 6 Char"/>
    <w:basedOn w:val="707"/>
    <w:link w:val="703"/>
    <w:uiPriority w:val="9"/>
    <w:rPr>
      <w:rFonts w:ascii="Arial" w:hAnsi="Arial" w:eastAsia="Arial" w:cs="Arial"/>
      <w:b/>
      <w:bCs/>
      <w:sz w:val="22"/>
      <w:szCs w:val="22"/>
    </w:rPr>
  </w:style>
  <w:style w:type="character" w:styleId="688">
    <w:name w:val="Heading 7 Char"/>
    <w:basedOn w:val="707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8 Char"/>
    <w:basedOn w:val="707"/>
    <w:link w:val="705"/>
    <w:uiPriority w:val="9"/>
    <w:rPr>
      <w:rFonts w:ascii="Arial" w:hAnsi="Arial" w:eastAsia="Arial" w:cs="Arial"/>
      <w:i/>
      <w:iCs/>
      <w:sz w:val="22"/>
      <w:szCs w:val="22"/>
    </w:rPr>
  </w:style>
  <w:style w:type="character" w:styleId="690">
    <w:name w:val="Heading 9 Char"/>
    <w:basedOn w:val="707"/>
    <w:link w:val="706"/>
    <w:uiPriority w:val="9"/>
    <w:rPr>
      <w:rFonts w:ascii="Arial" w:hAnsi="Arial" w:eastAsia="Arial" w:cs="Arial"/>
      <w:i/>
      <w:iCs/>
      <w:sz w:val="21"/>
      <w:szCs w:val="21"/>
    </w:rPr>
  </w:style>
  <w:style w:type="character" w:styleId="691">
    <w:name w:val="Title Char"/>
    <w:basedOn w:val="707"/>
    <w:link w:val="721"/>
    <w:uiPriority w:val="10"/>
    <w:rPr>
      <w:sz w:val="48"/>
      <w:szCs w:val="48"/>
    </w:rPr>
  </w:style>
  <w:style w:type="character" w:styleId="692">
    <w:name w:val="Subtitle Char"/>
    <w:basedOn w:val="707"/>
    <w:link w:val="723"/>
    <w:uiPriority w:val="11"/>
    <w:rPr>
      <w:sz w:val="24"/>
      <w:szCs w:val="24"/>
    </w:rPr>
  </w:style>
  <w:style w:type="character" w:styleId="693">
    <w:name w:val="Quote Char"/>
    <w:link w:val="725"/>
    <w:uiPriority w:val="29"/>
    <w:rPr>
      <w:i/>
    </w:rPr>
  </w:style>
  <w:style w:type="character" w:styleId="694">
    <w:name w:val="Intense Quote Char"/>
    <w:link w:val="727"/>
    <w:uiPriority w:val="30"/>
    <w:rPr>
      <w:i/>
    </w:rPr>
  </w:style>
  <w:style w:type="character" w:styleId="695">
    <w:name w:val="Footnote Text Char"/>
    <w:link w:val="860"/>
    <w:uiPriority w:val="99"/>
    <w:rPr>
      <w:sz w:val="18"/>
    </w:rPr>
  </w:style>
  <w:style w:type="character" w:styleId="696">
    <w:name w:val="Endnote Text Char"/>
    <w:link w:val="863"/>
    <w:uiPriority w:val="99"/>
    <w:rPr>
      <w:sz w:val="20"/>
    </w:rPr>
  </w:style>
  <w:style w:type="paragraph" w:styleId="697" w:default="1">
    <w:name w:val="Normal"/>
    <w:qFormat/>
  </w:style>
  <w:style w:type="paragraph" w:styleId="698">
    <w:name w:val="Heading 1"/>
    <w:basedOn w:val="697"/>
    <w:next w:val="697"/>
    <w:link w:val="71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99">
    <w:name w:val="Heading 2"/>
    <w:basedOn w:val="697"/>
    <w:next w:val="697"/>
    <w:link w:val="71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700">
    <w:name w:val="Heading 3"/>
    <w:basedOn w:val="697"/>
    <w:next w:val="697"/>
    <w:link w:val="712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701">
    <w:name w:val="Heading 4"/>
    <w:basedOn w:val="697"/>
    <w:next w:val="697"/>
    <w:link w:val="71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702">
    <w:name w:val="Heading 5"/>
    <w:basedOn w:val="697"/>
    <w:next w:val="697"/>
    <w:link w:val="71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703">
    <w:name w:val="Heading 6"/>
    <w:basedOn w:val="697"/>
    <w:next w:val="697"/>
    <w:link w:val="71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704">
    <w:name w:val="Heading 7"/>
    <w:basedOn w:val="697"/>
    <w:next w:val="697"/>
    <w:link w:val="71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705">
    <w:name w:val="Heading 8"/>
    <w:basedOn w:val="697"/>
    <w:next w:val="697"/>
    <w:link w:val="71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706">
    <w:name w:val="Heading 9"/>
    <w:basedOn w:val="697"/>
    <w:next w:val="697"/>
    <w:link w:val="71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7" w:default="1">
    <w:name w:val="Default Paragraph Font"/>
    <w:uiPriority w:val="1"/>
    <w:semiHidden/>
    <w:unhideWhenUsed/>
  </w:style>
  <w:style w:type="table" w:styleId="70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09" w:default="1">
    <w:name w:val="No List"/>
    <w:uiPriority w:val="99"/>
    <w:semiHidden/>
    <w:unhideWhenUsed/>
  </w:style>
  <w:style w:type="character" w:styleId="710" w:customStyle="1">
    <w:name w:val="Заголовок 1 Знак"/>
    <w:basedOn w:val="707"/>
    <w:link w:val="698"/>
    <w:uiPriority w:val="9"/>
    <w:rPr>
      <w:rFonts w:ascii="Arial" w:hAnsi="Arial" w:eastAsia="Arial" w:cs="Arial"/>
      <w:sz w:val="40"/>
      <w:szCs w:val="40"/>
    </w:rPr>
  </w:style>
  <w:style w:type="character" w:styleId="711" w:customStyle="1">
    <w:name w:val="Заголовок 2 Знак"/>
    <w:basedOn w:val="707"/>
    <w:link w:val="699"/>
    <w:uiPriority w:val="9"/>
    <w:rPr>
      <w:rFonts w:ascii="Arial" w:hAnsi="Arial" w:eastAsia="Arial" w:cs="Arial"/>
      <w:sz w:val="34"/>
    </w:rPr>
  </w:style>
  <w:style w:type="character" w:styleId="712" w:customStyle="1">
    <w:name w:val="Заголовок 3 Знак"/>
    <w:basedOn w:val="707"/>
    <w:link w:val="700"/>
    <w:uiPriority w:val="9"/>
    <w:rPr>
      <w:rFonts w:ascii="Arial" w:hAnsi="Arial" w:eastAsia="Arial" w:cs="Arial"/>
      <w:sz w:val="30"/>
      <w:szCs w:val="30"/>
    </w:rPr>
  </w:style>
  <w:style w:type="character" w:styleId="713" w:customStyle="1">
    <w:name w:val="Заголовок 4 Знак"/>
    <w:basedOn w:val="707"/>
    <w:link w:val="701"/>
    <w:uiPriority w:val="9"/>
    <w:rPr>
      <w:rFonts w:ascii="Arial" w:hAnsi="Arial" w:eastAsia="Arial" w:cs="Arial"/>
      <w:b/>
      <w:bCs/>
      <w:sz w:val="26"/>
      <w:szCs w:val="26"/>
    </w:rPr>
  </w:style>
  <w:style w:type="character" w:styleId="714" w:customStyle="1">
    <w:name w:val="Заголовок 5 Знак"/>
    <w:basedOn w:val="707"/>
    <w:link w:val="702"/>
    <w:uiPriority w:val="9"/>
    <w:rPr>
      <w:rFonts w:ascii="Arial" w:hAnsi="Arial" w:eastAsia="Arial" w:cs="Arial"/>
      <w:b/>
      <w:bCs/>
      <w:sz w:val="24"/>
      <w:szCs w:val="24"/>
    </w:rPr>
  </w:style>
  <w:style w:type="character" w:styleId="715" w:customStyle="1">
    <w:name w:val="Заголовок 6 Знак"/>
    <w:basedOn w:val="707"/>
    <w:link w:val="703"/>
    <w:uiPriority w:val="9"/>
    <w:rPr>
      <w:rFonts w:ascii="Arial" w:hAnsi="Arial" w:eastAsia="Arial" w:cs="Arial"/>
      <w:b/>
      <w:bCs/>
      <w:sz w:val="22"/>
      <w:szCs w:val="22"/>
    </w:rPr>
  </w:style>
  <w:style w:type="character" w:styleId="716" w:customStyle="1">
    <w:name w:val="Заголовок 7 Знак"/>
    <w:basedOn w:val="707"/>
    <w:link w:val="70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17" w:customStyle="1">
    <w:name w:val="Заголовок 8 Знак"/>
    <w:basedOn w:val="707"/>
    <w:link w:val="705"/>
    <w:uiPriority w:val="9"/>
    <w:rPr>
      <w:rFonts w:ascii="Arial" w:hAnsi="Arial" w:eastAsia="Arial" w:cs="Arial"/>
      <w:i/>
      <w:iCs/>
      <w:sz w:val="22"/>
      <w:szCs w:val="22"/>
    </w:rPr>
  </w:style>
  <w:style w:type="character" w:styleId="718" w:customStyle="1">
    <w:name w:val="Заголовок 9 Знак"/>
    <w:basedOn w:val="707"/>
    <w:link w:val="706"/>
    <w:uiPriority w:val="9"/>
    <w:rPr>
      <w:rFonts w:ascii="Arial" w:hAnsi="Arial" w:eastAsia="Arial" w:cs="Arial"/>
      <w:i/>
      <w:iCs/>
      <w:sz w:val="21"/>
      <w:szCs w:val="21"/>
    </w:rPr>
  </w:style>
  <w:style w:type="paragraph" w:styleId="719">
    <w:name w:val="List Paragraph"/>
    <w:basedOn w:val="697"/>
    <w:uiPriority w:val="34"/>
    <w:qFormat/>
    <w:pPr>
      <w:contextualSpacing/>
      <w:ind w:left="720"/>
    </w:pPr>
  </w:style>
  <w:style w:type="paragraph" w:styleId="720">
    <w:name w:val="No Spacing"/>
    <w:uiPriority w:val="1"/>
    <w:qFormat/>
    <w:pPr>
      <w:spacing w:after="0" w:line="240" w:lineRule="auto"/>
    </w:pPr>
  </w:style>
  <w:style w:type="paragraph" w:styleId="721">
    <w:name w:val="Title"/>
    <w:basedOn w:val="697"/>
    <w:next w:val="697"/>
    <w:link w:val="722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2" w:customStyle="1">
    <w:name w:val="Заголовок Знак"/>
    <w:basedOn w:val="707"/>
    <w:link w:val="721"/>
    <w:uiPriority w:val="10"/>
    <w:rPr>
      <w:sz w:val="48"/>
      <w:szCs w:val="48"/>
    </w:rPr>
  </w:style>
  <w:style w:type="paragraph" w:styleId="723">
    <w:name w:val="Subtitle"/>
    <w:basedOn w:val="697"/>
    <w:next w:val="697"/>
    <w:link w:val="724"/>
    <w:uiPriority w:val="11"/>
    <w:qFormat/>
    <w:pPr>
      <w:spacing w:before="200" w:after="200"/>
    </w:pPr>
    <w:rPr>
      <w:sz w:val="24"/>
      <w:szCs w:val="24"/>
    </w:rPr>
  </w:style>
  <w:style w:type="character" w:styleId="724" w:customStyle="1">
    <w:name w:val="Подзаголовок Знак"/>
    <w:basedOn w:val="707"/>
    <w:link w:val="723"/>
    <w:uiPriority w:val="11"/>
    <w:rPr>
      <w:sz w:val="24"/>
      <w:szCs w:val="24"/>
    </w:rPr>
  </w:style>
  <w:style w:type="paragraph" w:styleId="725">
    <w:name w:val="Quote"/>
    <w:basedOn w:val="697"/>
    <w:next w:val="697"/>
    <w:link w:val="726"/>
    <w:uiPriority w:val="29"/>
    <w:qFormat/>
    <w:pPr>
      <w:ind w:left="720" w:right="720"/>
    </w:pPr>
    <w:rPr>
      <w:i/>
    </w:rPr>
  </w:style>
  <w:style w:type="character" w:styleId="726" w:customStyle="1">
    <w:name w:val="Цитата 2 Знак"/>
    <w:link w:val="725"/>
    <w:uiPriority w:val="29"/>
    <w:rPr>
      <w:i/>
    </w:rPr>
  </w:style>
  <w:style w:type="paragraph" w:styleId="727">
    <w:name w:val="Intense Quote"/>
    <w:basedOn w:val="697"/>
    <w:next w:val="697"/>
    <w:link w:val="728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28" w:customStyle="1">
    <w:name w:val="Выделенная цитата Знак"/>
    <w:link w:val="727"/>
    <w:uiPriority w:val="30"/>
    <w:rPr>
      <w:i/>
    </w:rPr>
  </w:style>
  <w:style w:type="character" w:styleId="729" w:customStyle="1">
    <w:name w:val="Header Char"/>
    <w:basedOn w:val="707"/>
    <w:uiPriority w:val="99"/>
  </w:style>
  <w:style w:type="character" w:styleId="730" w:customStyle="1">
    <w:name w:val="Footer Char"/>
    <w:basedOn w:val="707"/>
    <w:uiPriority w:val="99"/>
  </w:style>
  <w:style w:type="paragraph" w:styleId="731">
    <w:name w:val="Caption"/>
    <w:basedOn w:val="697"/>
    <w:next w:val="697"/>
    <w:link w:val="732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styleId="732" w:customStyle="1">
    <w:name w:val="Caption Char"/>
    <w:uiPriority w:val="99"/>
  </w:style>
  <w:style w:type="table" w:styleId="733">
    <w:name w:val="Table Grid"/>
    <w:basedOn w:val="708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34" w:customStyle="1">
    <w:name w:val="Table Grid Light"/>
    <w:basedOn w:val="70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35">
    <w:name w:val="Plain Table 1"/>
    <w:basedOn w:val="708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2"/>
    <w:basedOn w:val="708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3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8">
    <w:name w:val="Plain Table 4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Plain Table 5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0">
    <w:name w:val="Grid Table 1 Light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 w:customStyle="1">
    <w:name w:val="Grid Table 1 Light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 w:customStyle="1">
    <w:name w:val="Grid Table 1 Light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 w:customStyle="1">
    <w:name w:val="Grid Table 1 Light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 w:customStyle="1">
    <w:name w:val="Grid Table 1 Light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 w:customStyle="1">
    <w:name w:val="Grid Table 1 Light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 w:customStyle="1">
    <w:name w:val="Grid Table 1 Light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2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 w:customStyle="1">
    <w:name w:val="Grid Table 2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 w:customStyle="1">
    <w:name w:val="Grid Table 2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 w:customStyle="1">
    <w:name w:val="Grid Table 2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 w:customStyle="1">
    <w:name w:val="Grid Table 2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 w:customStyle="1">
    <w:name w:val="Grid Table 2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 w:customStyle="1">
    <w:name w:val="Grid Table 3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 w:customStyle="1">
    <w:name w:val="Grid Table 3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 w:customStyle="1">
    <w:name w:val="Grid Table 3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 w:customStyle="1">
    <w:name w:val="Grid Table 3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 w:customStyle="1">
    <w:name w:val="Grid Table 3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 w:customStyle="1">
    <w:name w:val="Grid Table 3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4"/>
    <w:basedOn w:val="708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2" w:customStyle="1">
    <w:name w:val="Grid Table 4 - Accent 1"/>
    <w:basedOn w:val="70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63" w:customStyle="1">
    <w:name w:val="Grid Table 4 - Accent 2"/>
    <w:basedOn w:val="70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64" w:customStyle="1">
    <w:name w:val="Grid Table 4 - Accent 3"/>
    <w:basedOn w:val="708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65" w:customStyle="1">
    <w:name w:val="Grid Table 4 - Accent 4"/>
    <w:basedOn w:val="708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66" w:customStyle="1">
    <w:name w:val="Grid Table 4 - Accent 5"/>
    <w:basedOn w:val="708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67" w:customStyle="1">
    <w:name w:val="Grid Table 4 - Accent 6"/>
    <w:basedOn w:val="708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68">
    <w:name w:val="Grid Table 5 Dark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69" w:customStyle="1">
    <w:name w:val="Grid Table 5 Dark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70" w:customStyle="1">
    <w:name w:val="Grid Table 5 Dark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71" w:customStyle="1">
    <w:name w:val="Grid Table 5 Dark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72" w:customStyle="1">
    <w:name w:val="Grid Table 5 Dark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73" w:customStyle="1">
    <w:name w:val="Grid Table 5 Dark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74" w:customStyle="1">
    <w:name w:val="Grid Table 5 Dark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75">
    <w:name w:val="Grid Table 6 Colorful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76" w:customStyle="1">
    <w:name w:val="Grid Table 6 Colorful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77" w:customStyle="1">
    <w:name w:val="Grid Table 6 Colorful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78" w:customStyle="1">
    <w:name w:val="Grid Table 6 Colorful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79" w:customStyle="1">
    <w:name w:val="Grid Table 6 Colorful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80" w:customStyle="1">
    <w:name w:val="Grid Table 6 Colorful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81" w:customStyle="1">
    <w:name w:val="Grid Table 6 Colorful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82">
    <w:name w:val="Grid Table 7 Colorful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3" w:customStyle="1">
    <w:name w:val="Grid Table 7 Colorful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CCCEA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CCCEA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4" w:customStyle="1">
    <w:name w:val="Grid Table 7 Colorful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5" w:customStyle="1">
    <w:name w:val="Grid Table 7 Colorful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5A5A5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A5A5A5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6" w:customStyle="1">
    <w:name w:val="Grid Table 7 Colorful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7" w:customStyle="1">
    <w:name w:val="Grid Table 7 Colorful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5AFDD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5AFDD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8" w:customStyle="1">
    <w:name w:val="Grid Table 7 Colorful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DD394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ADD394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789">
    <w:name w:val="List Table 1 Light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 w:customStyle="1">
    <w:name w:val="List Table 1 Light - Accent 1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 w:customStyle="1">
    <w:name w:val="List Table 1 Light - Accent 2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 w:customStyle="1">
    <w:name w:val="List Table 1 Light - Accent 3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 w:customStyle="1">
    <w:name w:val="List Table 1 Light - Accent 4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 w:customStyle="1">
    <w:name w:val="List Table 1 Light - Accent 5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 w:customStyle="1">
    <w:name w:val="List Table 1 Light - Accent 6"/>
    <w:basedOn w:val="708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97" w:customStyle="1">
    <w:name w:val="List Table 2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98" w:customStyle="1">
    <w:name w:val="List Table 2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99" w:customStyle="1">
    <w:name w:val="List Table 2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800" w:customStyle="1">
    <w:name w:val="List Table 2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801" w:customStyle="1">
    <w:name w:val="List Table 2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802" w:customStyle="1">
    <w:name w:val="List Table 2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803">
    <w:name w:val="List Table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3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 w:customStyle="1">
    <w:name w:val="List Table 3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 w:customStyle="1">
    <w:name w:val="List Table 3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 w:customStyle="1">
    <w:name w:val="List Table 3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 w:customStyle="1">
    <w:name w:val="List Table 3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 w:customStyle="1">
    <w:name w:val="List Table 3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 w:customStyle="1">
    <w:name w:val="List Table 4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 w:customStyle="1">
    <w:name w:val="List Table 4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 w:customStyle="1">
    <w:name w:val="List Table 4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 w:customStyle="1">
    <w:name w:val="List Table 4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 w:customStyle="1">
    <w:name w:val="List Table 4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 w:customStyle="1">
    <w:name w:val="List Table 4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5 Dark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8" w:customStyle="1">
    <w:name w:val="List Table 5 Dark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9" w:customStyle="1">
    <w:name w:val="List Table 5 Dark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0" w:customStyle="1">
    <w:name w:val="List Table 5 Dark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1" w:customStyle="1">
    <w:name w:val="List Table 5 Dark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2" w:customStyle="1">
    <w:name w:val="List Table 5 Dark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3" w:customStyle="1">
    <w:name w:val="List Table 5 Dark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24">
    <w:name w:val="List Table 6 Colorful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25" w:customStyle="1">
    <w:name w:val="List Table 6 Colorful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26" w:customStyle="1">
    <w:name w:val="List Table 6 Colorful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27" w:customStyle="1">
    <w:name w:val="List Table 6 Colorful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28" w:customStyle="1">
    <w:name w:val="List Table 6 Colorful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29" w:customStyle="1">
    <w:name w:val="List Table 6 Colorful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30" w:customStyle="1">
    <w:name w:val="List Table 6 Colorful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31">
    <w:name w:val="List Table 7 Colorful"/>
    <w:basedOn w:val="70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2" w:customStyle="1">
    <w:name w:val="List Table 7 Colorful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5B9BD5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5B9BD5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3" w:customStyle="1">
    <w:name w:val="List Table 7 Colorful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4B184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F4B184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4" w:customStyle="1">
    <w:name w:val="List Table 7 Colorful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9C9C9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9C9C9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5" w:customStyle="1">
    <w:name w:val="List Table 7 Colorful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FD865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FFD865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6" w:customStyle="1">
    <w:name w:val="List Table 7 Colorful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8DA9DB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8DA9DB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7" w:customStyle="1">
    <w:name w:val="List Table 7 Colorful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9D08E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A9D08E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838" w:customStyle="1">
    <w:name w:val="Lined - Accent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9" w:customStyle="1">
    <w:name w:val="Lined - Accent 1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0" w:customStyle="1">
    <w:name w:val="Lined - Accent 2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1" w:customStyle="1">
    <w:name w:val="Lined - Accent 3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2" w:customStyle="1">
    <w:name w:val="Lined - Accent 4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43" w:customStyle="1">
    <w:name w:val="Lined - Accent 5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44" w:customStyle="1">
    <w:name w:val="Lined - Accent 6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5" w:customStyle="1">
    <w:name w:val="Bordered &amp; Lined - Accent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46" w:customStyle="1">
    <w:name w:val="Bordered &amp; Lined - Accent 1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47" w:customStyle="1">
    <w:name w:val="Bordered &amp; Lined - Accent 2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48" w:customStyle="1">
    <w:name w:val="Bordered &amp; Lined - Accent 3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49" w:customStyle="1">
    <w:name w:val="Bordered &amp; Lined - Accent 4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50" w:customStyle="1">
    <w:name w:val="Bordered &amp; Lined - Accent 5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51" w:customStyle="1">
    <w:name w:val="Bordered &amp; Lined - Accent 6"/>
    <w:basedOn w:val="708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52" w:customStyle="1">
    <w:name w:val="Bordered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53" w:customStyle="1">
    <w:name w:val="Bordered - Accent 1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54" w:customStyle="1">
    <w:name w:val="Bordered - Accent 2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55" w:customStyle="1">
    <w:name w:val="Bordered - Accent 3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56" w:customStyle="1">
    <w:name w:val="Bordered - Accent 4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57" w:customStyle="1">
    <w:name w:val="Bordered - Accent 5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58" w:customStyle="1">
    <w:name w:val="Bordered - Accent 6"/>
    <w:basedOn w:val="708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59">
    <w:name w:val="Hyperlink"/>
    <w:uiPriority w:val="99"/>
    <w:unhideWhenUsed/>
    <w:rPr>
      <w:color w:val="0563c1" w:themeColor="hyperlink"/>
      <w:u w:val="single"/>
    </w:rPr>
  </w:style>
  <w:style w:type="paragraph" w:styleId="860">
    <w:name w:val="footnote text"/>
    <w:basedOn w:val="697"/>
    <w:link w:val="861"/>
    <w:uiPriority w:val="99"/>
    <w:semiHidden/>
    <w:unhideWhenUsed/>
    <w:pPr>
      <w:spacing w:after="40" w:line="240" w:lineRule="auto"/>
    </w:pPr>
    <w:rPr>
      <w:sz w:val="18"/>
    </w:rPr>
  </w:style>
  <w:style w:type="character" w:styleId="861" w:customStyle="1">
    <w:name w:val="Текст сноски Знак"/>
    <w:link w:val="860"/>
    <w:uiPriority w:val="99"/>
    <w:rPr>
      <w:sz w:val="18"/>
    </w:rPr>
  </w:style>
  <w:style w:type="character" w:styleId="862">
    <w:name w:val="footnote reference"/>
    <w:basedOn w:val="707"/>
    <w:uiPriority w:val="99"/>
    <w:unhideWhenUsed/>
    <w:rPr>
      <w:vertAlign w:val="superscript"/>
    </w:rPr>
  </w:style>
  <w:style w:type="paragraph" w:styleId="863">
    <w:name w:val="endnote text"/>
    <w:basedOn w:val="697"/>
    <w:link w:val="864"/>
    <w:uiPriority w:val="99"/>
    <w:semiHidden/>
    <w:unhideWhenUsed/>
    <w:pPr>
      <w:spacing w:after="0" w:line="240" w:lineRule="auto"/>
    </w:pPr>
    <w:rPr>
      <w:sz w:val="20"/>
    </w:rPr>
  </w:style>
  <w:style w:type="character" w:styleId="864" w:customStyle="1">
    <w:name w:val="Текст концевой сноски Знак"/>
    <w:link w:val="863"/>
    <w:uiPriority w:val="99"/>
    <w:rPr>
      <w:sz w:val="20"/>
    </w:rPr>
  </w:style>
  <w:style w:type="character" w:styleId="865">
    <w:name w:val="endnote reference"/>
    <w:basedOn w:val="707"/>
    <w:uiPriority w:val="99"/>
    <w:semiHidden/>
    <w:unhideWhenUsed/>
    <w:rPr>
      <w:vertAlign w:val="superscript"/>
    </w:rPr>
  </w:style>
  <w:style w:type="paragraph" w:styleId="866">
    <w:name w:val="toc 1"/>
    <w:basedOn w:val="697"/>
    <w:next w:val="697"/>
    <w:uiPriority w:val="39"/>
    <w:unhideWhenUsed/>
    <w:pPr>
      <w:spacing w:after="57"/>
    </w:pPr>
  </w:style>
  <w:style w:type="paragraph" w:styleId="867">
    <w:name w:val="toc 2"/>
    <w:basedOn w:val="697"/>
    <w:next w:val="697"/>
    <w:uiPriority w:val="39"/>
    <w:unhideWhenUsed/>
    <w:pPr>
      <w:ind w:left="283"/>
      <w:spacing w:after="57"/>
    </w:pPr>
  </w:style>
  <w:style w:type="paragraph" w:styleId="868">
    <w:name w:val="toc 3"/>
    <w:basedOn w:val="697"/>
    <w:next w:val="697"/>
    <w:uiPriority w:val="39"/>
    <w:unhideWhenUsed/>
    <w:pPr>
      <w:ind w:left="567"/>
      <w:spacing w:after="57"/>
    </w:pPr>
  </w:style>
  <w:style w:type="paragraph" w:styleId="869">
    <w:name w:val="toc 4"/>
    <w:basedOn w:val="697"/>
    <w:next w:val="697"/>
    <w:uiPriority w:val="39"/>
    <w:unhideWhenUsed/>
    <w:pPr>
      <w:ind w:left="850"/>
      <w:spacing w:after="57"/>
    </w:pPr>
  </w:style>
  <w:style w:type="paragraph" w:styleId="870">
    <w:name w:val="toc 5"/>
    <w:basedOn w:val="697"/>
    <w:next w:val="697"/>
    <w:uiPriority w:val="39"/>
    <w:unhideWhenUsed/>
    <w:pPr>
      <w:ind w:left="1134"/>
      <w:spacing w:after="57"/>
    </w:pPr>
  </w:style>
  <w:style w:type="paragraph" w:styleId="871">
    <w:name w:val="toc 6"/>
    <w:basedOn w:val="697"/>
    <w:next w:val="697"/>
    <w:uiPriority w:val="39"/>
    <w:unhideWhenUsed/>
    <w:pPr>
      <w:ind w:left="1417"/>
      <w:spacing w:after="57"/>
    </w:pPr>
  </w:style>
  <w:style w:type="paragraph" w:styleId="872">
    <w:name w:val="toc 7"/>
    <w:basedOn w:val="697"/>
    <w:next w:val="697"/>
    <w:uiPriority w:val="39"/>
    <w:unhideWhenUsed/>
    <w:pPr>
      <w:ind w:left="1701"/>
      <w:spacing w:after="57"/>
    </w:pPr>
  </w:style>
  <w:style w:type="paragraph" w:styleId="873">
    <w:name w:val="toc 8"/>
    <w:basedOn w:val="697"/>
    <w:next w:val="697"/>
    <w:uiPriority w:val="39"/>
    <w:unhideWhenUsed/>
    <w:pPr>
      <w:ind w:left="1984"/>
      <w:spacing w:after="57"/>
    </w:pPr>
  </w:style>
  <w:style w:type="paragraph" w:styleId="874">
    <w:name w:val="toc 9"/>
    <w:basedOn w:val="697"/>
    <w:next w:val="697"/>
    <w:uiPriority w:val="39"/>
    <w:unhideWhenUsed/>
    <w:pPr>
      <w:ind w:left="2268"/>
      <w:spacing w:after="57"/>
    </w:pPr>
  </w:style>
  <w:style w:type="paragraph" w:styleId="875">
    <w:name w:val="TOC Heading"/>
    <w:uiPriority w:val="39"/>
    <w:unhideWhenUsed/>
  </w:style>
  <w:style w:type="paragraph" w:styleId="876">
    <w:name w:val="table of figures"/>
    <w:basedOn w:val="697"/>
    <w:next w:val="697"/>
    <w:uiPriority w:val="99"/>
    <w:unhideWhenUsed/>
    <w:pPr>
      <w:spacing w:after="0"/>
    </w:pPr>
  </w:style>
  <w:style w:type="paragraph" w:styleId="877">
    <w:name w:val="Header"/>
    <w:basedOn w:val="697"/>
    <w:link w:val="878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78" w:customStyle="1">
    <w:name w:val="Верхний колонтитул Знак"/>
    <w:basedOn w:val="707"/>
    <w:link w:val="877"/>
    <w:uiPriority w:val="99"/>
  </w:style>
  <w:style w:type="paragraph" w:styleId="879">
    <w:name w:val="Footer"/>
    <w:basedOn w:val="697"/>
    <w:link w:val="88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880" w:customStyle="1">
    <w:name w:val="Нижний колонтитул Знак"/>
    <w:basedOn w:val="707"/>
    <w:link w:val="879"/>
    <w:uiPriority w:val="99"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hyperlink" Target="http://www.saratovenergo.ru" TargetMode="External"/><Relationship Id="rId11" Type="http://schemas.openxmlformats.org/officeDocument/2006/relationships/hyperlink" Target="http://www.saratovenergo.ru" TargetMode="External"/><Relationship Id="rId12" Type="http://schemas.openxmlformats.org/officeDocument/2006/relationships/hyperlink" Target="http://www.saratovenergo.ru" TargetMode="External"/><Relationship Id="rId13" Type="http://schemas.openxmlformats.org/officeDocument/2006/relationships/hyperlink" Target="http://www.saratovenergo.ru" TargetMode="External"/><Relationship Id="rId14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Петров Сергей Владимирович</dc:creator>
  <cp:keywords/>
  <dc:description/>
  <cp:lastModifiedBy>Зимин Александр Александрович</cp:lastModifiedBy>
  <cp:revision>10</cp:revision>
  <dcterms:created xsi:type="dcterms:W3CDTF">2024-04-05T03:48:00Z</dcterms:created>
  <dcterms:modified xsi:type="dcterms:W3CDTF">2026-02-27T04:06:16Z</dcterms:modified>
</cp:coreProperties>
</file>