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2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ab/>
        <w:tab/>
        <w:tab/>
        <w:tab/>
        <w:tab/>
        <w:tab/>
        <w:tab/>
        <w:t xml:space="preserve">УТВЕРЖДЕНО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  <w:tab/>
        <w:tab/>
        <w:tab/>
        <w:tab/>
        <w:tab/>
        <w:tab/>
        <w:tab/>
        <w:t xml:space="preserve">Решением Совета директоров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ПАО «Саратовэнерго» 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ab/>
        <w:tab/>
        <w:tab/>
        <w:tab/>
        <w:tab/>
        <w:tab/>
        <w:tab/>
        <w:t xml:space="preserve">от «20» января 2025 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ind w:left="4248" w:firstLine="708"/>
        <w:jc w:val="lef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  <w:t xml:space="preserve">(Протокол от «20» января 2025 №375)</w:t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ind w:left="4820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sz w:val="28"/>
          <w:szCs w:val="28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830" w:leader="none"/>
        </w:tabs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 xml:space="preserve">ПОЛОЖЕНИЕ ОБ ИНСАЙДЕРСКОЙ ИНФОРМАЦИИ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830" w:leader="none"/>
        </w:tabs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  <w:t xml:space="preserve">Публичного акционерного общества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«Саратовэнерго»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(новая редакция)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590" w:leader="none"/>
        </w:tabs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b/>
          <w:sz w:val="28"/>
          <w:szCs w:val="28"/>
          <w:lang w:eastAsia="ru-RU"/>
        </w:rPr>
        <w:tab/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pStyle w:val="762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pPr>
      <w:r>
        <w:rPr>
          <w:rFonts w:ascii="Liberation Serif" w:hAnsi="Liberation Serif" w:eastAsia="Times New Roman" w:cs="Times New Roman"/>
          <w:b/>
          <w:sz w:val="28"/>
          <w:szCs w:val="28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  <w:r>
        <w:rPr>
          <w:rFonts w:ascii="Liberation Serif" w:hAnsi="Liberation Serif" w:eastAsia="Times New Roman" w:cs="Times New Roman"/>
          <w:b/>
          <w:sz w:val="28"/>
          <w:szCs w:val="28"/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highlight w:val="none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hd w:val="clear" w:color="ffffff" w:themeColor="background1" w:fill="ffffff" w:themeFill="background1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62"/>
        <w:jc w:val="center"/>
        <w:shd w:val="clear" w:color="ffffff" w:themeColor="background1" w:fill="ffffff" w:themeFill="background1"/>
        <w:rPr>
          <w:highlight w:val="none"/>
        </w:rPr>
      </w:pPr>
      <w:r>
        <w:rPr>
          <w:rFonts w:ascii="Liberation Serif" w:hAnsi="Liberation Serif" w:cs="Times New Roman"/>
          <w:sz w:val="28"/>
          <w:szCs w:val="28"/>
        </w:rPr>
        <w:t xml:space="preserve">Саратов - 2025</w:t>
      </w: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W w:w="102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53"/>
        <w:gridCol w:w="527"/>
      </w:tblGrid>
      <w:tr>
        <w:tblPrEx/>
        <w:trPr>
          <w:trHeight w:val="425"/>
        </w:trPr>
        <w:tc>
          <w:tcPr>
            <w:tcW w:w="9753" w:type="dxa"/>
            <w:textDirection w:val="lrTb"/>
            <w:noWrap w:val="false"/>
          </w:tcPr>
          <w:p>
            <w:pPr>
              <w:pStyle w:val="762"/>
              <w:jc w:val="center"/>
              <w:pageBreakBefore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sz w:val="28"/>
                <w:szCs w:val="28"/>
                <w:lang w:val="ru-RU" w:eastAsia="ru-RU" w:bidi="ar-SA"/>
              </w:rPr>
              <w:t xml:space="preserve">Содержание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eastAsia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b/>
                <w:sz w:val="28"/>
                <w:szCs w:val="28"/>
              </w:rPr>
            </w:r>
            <w:r>
              <w:rPr>
                <w:rFonts w:ascii="Liberation Serif" w:hAnsi="Liberation Serif" w:eastAsia="Times New Roman" w:cs="Times New Roman"/>
                <w:b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Times New Roman" w:cs="Times New Roman"/>
                <w:b/>
                <w:sz w:val="28"/>
                <w:szCs w:val="28"/>
                <w:highlight w:val="none"/>
              </w:rPr>
            </w:r>
          </w:p>
        </w:tc>
        <w:tc>
          <w:tcPr>
            <w:tcW w:w="527" w:type="dxa"/>
            <w:textDirection w:val="lrTb"/>
            <w:noWrap w:val="false"/>
          </w:tcPr>
          <w:p>
            <w:pPr>
              <w:pStyle w:val="762"/>
              <w:jc w:val="left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sz w:val="24"/>
                <w:szCs w:val="24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Times New Roman" w:cs="Times New Roman"/>
          <w:sz w:val="24"/>
          <w:szCs w:val="24"/>
          <w:highlight w:val="none"/>
        </w:rPr>
      </w:pPr>
      <w:r>
        <w:rPr>
          <w:rFonts w:ascii="Liberation Serif" w:hAnsi="Liberation Serif" w:eastAsia="Times New Roman" w:cs="Times New Roman"/>
          <w:sz w:val="24"/>
          <w:szCs w:val="24"/>
        </w:rPr>
      </w: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</w:r>
      <w:r>
        <w:rPr>
          <w:rFonts w:ascii="Liberation Serif" w:hAnsi="Liberation Serif" w:eastAsia="Times New Roman" w:cs="Times New Roman"/>
          <w:sz w:val="24"/>
          <w:szCs w:val="24"/>
          <w:highlight w:val="none"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813"/>
            <w:tabs>
              <w:tab w:val="clear" w:pos="708" w:leader="none"/>
              <w:tab w:val="right" w:pos="10063" w:leader="dot"/>
            </w:tabs>
          </w:pPr>
          <w:r>
            <w:fldChar w:fldCharType="begin"/>
          </w:r>
          <w:r>
            <w:rPr>
              <w:rStyle w:val="799"/>
              <w:rFonts w:ascii="Liberation Serif" w:hAnsi="Liberation Serif"/>
            </w:rPr>
            <w:instrText xml:space="preserve"> TOC \o "1-3" \t "Heading 1,1,Heading 2,2,Heading 3,3" \h</w:instrText>
          </w:r>
          <w:r>
            <w:rPr>
              <w:rStyle w:val="799"/>
              <w:rFonts w:ascii="Liberation Serif" w:hAnsi="Liberation Serif"/>
            </w:rPr>
            <w:fldChar w:fldCharType="separate"/>
          </w:r>
          <w:hyperlink w:tooltip="#__RefHeading___Toc12979_3573046309" w:anchor="__RefHeading___Toc12979_3573046309" w:history="1">
            <w:r>
              <w:rPr>
                <w:rStyle w:val="799"/>
                <w:rFonts w:ascii="Liberation Serif" w:hAnsi="Liberation Serif"/>
              </w:rPr>
              <w:t xml:space="preserve">1. Общие положения</w:t>
              <w:tab/>
              <w:t xml:space="preserve">3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81_3573046309" w:anchor="__RefHeading___Toc12981_3573046309" w:history="1">
            <w:r>
              <w:rPr>
                <w:rStyle w:val="799"/>
                <w:rFonts w:ascii="Liberation Serif" w:hAnsi="Liberation Serif"/>
              </w:rPr>
              <w:t xml:space="preserve">2. Термины и определения</w:t>
              <w:tab/>
              <w:t xml:space="preserve">3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83_3573046309" w:anchor="__RefHeading___Toc12983_3573046309" w:history="1">
            <w:r>
              <w:rPr>
                <w:rStyle w:val="799"/>
                <w:rFonts w:ascii="Liberation Serif" w:hAnsi="Liberation Serif"/>
              </w:rPr>
              <w:t xml:space="preserve">3. Цели настоящего Положения</w:t>
              <w:tab/>
              <w:t xml:space="preserve">7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85_3573046309" w:anchor="__RefHeading___Toc12985_3573046309" w:history="1">
            <w:r>
              <w:rPr>
                <w:rStyle w:val="799"/>
                <w:rFonts w:ascii="Liberation Serif" w:hAnsi="Liberation Serif"/>
              </w:rPr>
              <w:t xml:space="preserve">4. Инсайдерская информация</w:t>
              <w:tab/>
              <w:t xml:space="preserve">7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87_3573046309" w:anchor="__RefHeading___Toc12987_3573046309" w:history="1">
            <w:r>
              <w:rPr>
                <w:rStyle w:val="799"/>
                <w:rFonts w:ascii="Liberation Serif" w:hAnsi="Liberation Serif"/>
              </w:rPr>
              <w:t xml:space="preserve">5. Правила составления списка инсайдеров</w:t>
              <w:tab/>
              <w:t xml:space="preserve">8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89_3573046309" w:anchor="__RefHeading___Toc12989_3573046309" w:history="1">
            <w:r>
              <w:rPr>
                <w:rStyle w:val="799"/>
                <w:rFonts w:ascii="Liberation Serif" w:hAnsi="Liberation Serif"/>
              </w:rPr>
              <w:t xml:space="preserve">6. Защита инсайдерской информации</w:t>
              <w:tab/>
              <w:t xml:space="preserve">12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91_3573046309" w:anchor="__RefHeading___Toc12991_3573046309" w:history="1">
            <w:r>
              <w:rPr>
                <w:rStyle w:val="799"/>
                <w:rFonts w:ascii="Liberation Serif" w:hAnsi="Liberation Serif"/>
              </w:rPr>
              <w:t xml:space="preserve">7. Порядок классификации и хранения носителей инсайдерской информации</w:t>
              <w:tab/>
              <w:t xml:space="preserve">13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93_3573046309" w:anchor="__RefHeading___Toc12993_3573046309" w:history="1">
            <w:r>
              <w:rPr>
                <w:rStyle w:val="799"/>
                <w:rFonts w:ascii="Liberation Serif" w:hAnsi="Liberation Serif"/>
              </w:rPr>
              <w:t xml:space="preserve">8. Ответственность</w:t>
              <w:tab/>
              <w:t xml:space="preserve">13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/>
          <w:hyperlink w:tooltip="#__RefHeading___Toc12995_3573046309" w:anchor="__RefHeading___Toc12995_3573046309" w:history="1">
            <w:r>
              <w:rPr>
                <w:rStyle w:val="799"/>
                <w:rFonts w:ascii="Liberation Serif" w:hAnsi="Liberation Serif"/>
              </w:rPr>
              <w:t xml:space="preserve">9. Заключительные положения</w:t>
              <w:tab/>
              <w:t xml:space="preserve">14</w:t>
            </w:r>
          </w:hyperlink>
          <w:r/>
          <w:r/>
        </w:p>
        <w:p>
          <w:pPr>
            <w:pStyle w:val="813"/>
            <w:tabs>
              <w:tab w:val="clear" w:pos="708" w:leader="none"/>
              <w:tab w:val="right" w:pos="10063" w:leader="dot"/>
            </w:tabs>
          </w:pPr>
          <w:r>
            <w:rPr>
              <w:rFonts w:ascii="Liberation Serif" w:hAnsi="Liberation Serif"/>
            </w:rPr>
            <w:t xml:space="preserve">10. Приложение </w:t>
          </w:r>
          <w:hyperlink w:tooltip="#__RefHeading___Toc12993_3573046309" w:anchor="__RefHeading___Toc12993_3573046309" w:history="1">
            <w:r>
              <w:rPr>
                <w:rStyle w:val="799"/>
                <w:rFonts w:ascii="Liberation Serif" w:hAnsi="Liberation Serif"/>
              </w:rPr>
              <w:tab/>
              <w:t xml:space="preserve">1</w:t>
            </w:r>
          </w:hyperlink>
          <w:r>
            <w:rPr>
              <w:rFonts w:ascii="Liberation Serif" w:hAnsi="Liberation Serif"/>
            </w:rPr>
            <w:t xml:space="preserve">5</w:t>
          </w:r>
          <w:r>
            <w:rPr>
              <w:rFonts w:ascii="Liberation Serif" w:hAnsi="Liberation Serif"/>
            </w:rPr>
            <w:fldChar w:fldCharType="end"/>
          </w:r>
          <w:r/>
        </w:p>
      </w:sdtContent>
    </w:sdt>
    <w:p>
      <w:pPr>
        <w:pStyle w:val="813"/>
        <w:shd w:val="clear" w:color="auto" w:fill="ffffff"/>
        <w:tabs>
          <w:tab w:val="left" w:pos="567" w:leader="none"/>
          <w:tab w:val="clear" w:pos="708" w:leader="none"/>
          <w:tab w:val="right" w:pos="10063" w:leader="dot"/>
        </w:tabs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  <w14:ligatures w14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13"/>
        <w:shd w:val="clear" w:color="auto" w:fill="ffffff"/>
        <w:tabs>
          <w:tab w:val="clear" w:pos="708" w:leader="none"/>
          <w:tab w:val="right" w:pos="10063" w:leader="dot"/>
        </w:tabs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762"/>
        <w:shd w:val="clear" w:color="ffffff" w:themeColor="background1" w:fill="ffffff" w:themeFill="background1"/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pP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br w:type="page" w:clear="all"/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  <w:highlight w:val="none"/>
        </w:rPr>
      </w:r>
    </w:p>
    <w:p>
      <w:pPr>
        <w:pStyle w:val="763"/>
        <w:numPr>
          <w:ilvl w:val="0"/>
          <w:numId w:val="5"/>
        </w:numPr>
        <w:spacing w:before="0" w:after="57"/>
        <w:rPr>
          <w:rFonts w:ascii="Liberation Serif" w:hAnsi="Liberation Serif"/>
          <w:b/>
          <w:bCs/>
          <w:sz w:val="28"/>
          <w:szCs w:val="28"/>
        </w:rPr>
      </w:pPr>
      <w:r/>
      <w:bookmarkStart w:id="0" w:name="__RefHeading___Toc12979_3573046309"/>
      <w:r/>
      <w:bookmarkStart w:id="1" w:name="_Toc1"/>
      <w:r/>
      <w:bookmarkEnd w:id="0"/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</w:rPr>
        <w:t xml:space="preserve">Общие положения</w:t>
      </w:r>
      <w:bookmarkEnd w:id="1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1.1. Настоящее Положение об инсайдерской информации (далее – «Положение») является внутренним нормативным документом</w:t>
      </w:r>
      <w:r>
        <w:rPr>
          <w:rFonts w:ascii="Liberation Serif" w:hAnsi="Liberation Serif" w:cs="Times New Roman"/>
          <w:sz w:val="28"/>
          <w:szCs w:val="28"/>
        </w:rPr>
        <w:t xml:space="preserve"> ПАО «Саратовэнерго (далее - Общество) и разработано соответствии с требованиями: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  Федерального закона от 22.04.1996 № 39-ФЗ «О рынке ценных бумаг»;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Федерального закона от 26.12.1995 № 208-ФЗ «Об акционерных обществах»;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</w:pPr>
      <w:r>
        <w:rPr>
          <w:rFonts w:ascii="Liberation Serif" w:hAnsi="Liberation Serif" w:cs="Times New Roman"/>
          <w:sz w:val="28"/>
          <w:szCs w:val="28"/>
        </w:rPr>
        <w:t xml:space="preserve">- Федерального закона от 27.07.2006 №149-ФЗ «Об информации, информационных технологиях и о защите информации»;</w:t>
      </w:r>
      <w:r/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- Указания Банка России от 27.09.2021 N 5946-У «О перечне инсайдерской информации юридических лиц, указанных в пунктах 1, 3, 4, 11 и 12 статьи 4 Федерального закона от 27 июля 2010 года N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Федерации", а также о порядке и сроках ее раскрытия» (далее -Указание Банка России);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иных действующих нормативных актов Банка России, подзаконных нормативных правовых актов;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Устава Общества и внутренних документов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1.2. Настоящее Положение регулирует использование инсайдерской информации Общества и включает: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определение инсайдерской информации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2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851" w:leader="none"/>
        </w:tabs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формирования Списка инсайдеров Общества и представления Списка инсайдеров Общества заинтересованным лицам;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2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851" w:leader="none"/>
        </w:tabs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правила уведомления Обществом инсайдеров ПАО «Саратовэнерго»;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0" w:right="0" w:firstLine="680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- иные вопросы, связанные с обращением и защитой инсайдерской информации.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3"/>
        <w:numPr>
          <w:ilvl w:val="0"/>
          <w:numId w:val="5"/>
        </w:numPr>
        <w:spacing w:before="113" w:after="113"/>
        <w:rPr>
          <w:rFonts w:ascii="Liberation Serif" w:hAnsi="Liberation Serif"/>
          <w:b/>
          <w:bCs/>
          <w:sz w:val="28"/>
          <w:szCs w:val="28"/>
        </w:rPr>
      </w:pPr>
      <w:r/>
      <w:bookmarkStart w:id="2" w:name="__RefHeading___Toc12981_3573046309"/>
      <w:r/>
      <w:bookmarkStart w:id="3" w:name="_Toc2"/>
      <w:r/>
      <w:bookmarkEnd w:id="2"/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lang w:eastAsia="ru-RU"/>
        </w:rPr>
        <w:t xml:space="preserve">Термины и определени</w:t>
      </w:r>
      <w:r>
        <w:rPr>
          <w:rFonts w:ascii="Liberation Serif" w:hAnsi="Liberation Serif" w:eastAsia="Times New Roman" w:cs="Times New Roman"/>
          <w:b/>
          <w:bCs/>
          <w:sz w:val="28"/>
          <w:szCs w:val="28"/>
          <w:lang w:eastAsia="ru-RU"/>
        </w:rPr>
        <w:t xml:space="preserve">я</w:t>
      </w:r>
      <w:bookmarkEnd w:id="3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tbl>
      <w:tblPr>
        <w:tblW w:w="5000" w:type="pct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000" w:firstRow="0" w:lastRow="0" w:firstColumn="0" w:lastColumn="0" w:noHBand="0" w:noVBand="0"/>
      </w:tblPr>
      <w:tblGrid>
        <w:gridCol w:w="3321"/>
        <w:gridCol w:w="6741"/>
      </w:tblGrid>
      <w:tr>
        <w:tblPrEx/>
        <w:trPr>
          <w:cantSplit/>
          <w:tblHeader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426" w:leader="none"/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MS Mincho" w:cs="Times New Roman"/>
                <w:spacing w:val="-2"/>
                <w:sz w:val="28"/>
                <w:szCs w:val="28"/>
                <w:lang w:eastAsia="ru-RU"/>
              </w:rPr>
              <w:t xml:space="preserve">Термины/сокращения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firstLine="709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left" w:pos="426" w:leader="none"/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MS Mincho" w:cs="Times New Roman"/>
                <w:spacing w:val="-2"/>
                <w:sz w:val="28"/>
                <w:szCs w:val="28"/>
                <w:lang w:eastAsia="ru-RU"/>
              </w:rPr>
              <w:t xml:space="preserve">Определения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Общество, Эмитент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spacing w:val="-2"/>
                <w:sz w:val="28"/>
                <w:szCs w:val="28"/>
                <w:lang w:eastAsia="ru-RU"/>
              </w:rPr>
              <w:t xml:space="preserve">Публичное акционерное общество «Саратовэнерго» (ПАО «Саратовэнерго)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Закон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Федеральный закон от 27.07.2010 № 224-ФЗ «О противодействии неправомерному использованию   инсайдерской информации и манипулированию рынком и о внесении изменений в отдельные законодательные акты Российской Федерации»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Инсайдер Общества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57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Лицо, определенное в ст. 4 Закона, имеющее доступ к инсайдерской информации в силу Закона,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 иных нормативных правовых актов, должностной инструкции, выполнения своих функций на основании трудового и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(или)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 гражданско-правового договора, заключенного с Обществом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2"/>
                <w:highlight w:val="white"/>
                <w:u w:val="none"/>
                <w:vertAlign w:val="baseline"/>
                <w:lang w:val="ru-RU" w:eastAsia="ru-RU" w:bidi="ar-SA"/>
              </w:rPr>
              <w:t xml:space="preserve">и включенное в список инсайдеров Общества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57" w:afterAutospacing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vMerge w:val="restart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Ответственное должностное лицо (ОДЛ)</w:t>
            </w: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vMerge w:val="restart"/>
            <w:textDirection w:val="lrTb"/>
            <w:noWrap w:val="false"/>
          </w:tcPr>
          <w:p>
            <w:pPr>
              <w:pStyle w:val="76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Должностное лицо Общества, в обязанности которого входит осуществление контроля за соблюдением Обществом требований Закона,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назначаемое единоличным исполнительным органом Общества (Генеральным директором Общества) и подчиненное ему.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Инсайдерская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/>
                <w:spacing w:val="-2"/>
                <w:sz w:val="28"/>
                <w:szCs w:val="28"/>
                <w:lang w:eastAsia="ru-RU"/>
              </w:rPr>
              <w:t xml:space="preserve">информация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Точная и конкретная информация, которая не была распространена (в том числе сведения, составляющие коммерческую, служебную, банковскую тайну, тайну связи (в части информации о почтовых переводах денежных средств) и иную охран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яемую законом тайну) и распространение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,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u w:val="none"/>
                <w:vertAlign w:val="baseline"/>
                <w:lang w:val="ru-RU" w:eastAsia="ru-RU" w:bidi="ar-SA"/>
              </w:rPr>
              <w:t xml:space="preserve"> либо одного или нескольких финансовых инструментов, иностранной валюты и (или) товаров) 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Неправомерное использование инсайдерской информации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contextualSpacing/>
              <w:ind w:left="0" w:right="113" w:firstLine="0"/>
              <w:jc w:val="both"/>
              <w:keepLines w:val="0"/>
              <w:keepNext w:val="0"/>
              <w:spacing w:before="0" w:after="0" w:afterAutospacing="0" w:line="240" w:lineRule="auto"/>
              <w:widowControl w:val="off"/>
              <w:tabs>
                <w:tab w:val="clear" w:pos="708" w:leader="none"/>
                <w:tab w:val="left" w:pos="5670" w:leader="none"/>
              </w:tabs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У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мышленное использование инсайдерской информации для осуществления операций с финансовыми инструментами, иностранной валютой и (или) товарами, к которым относится такая информация, за свой счет или за счет третьего лица, а равно умышленное использование инс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айдерской информации путем дачи рекомендаций третьим лицам, обязывания или побуждения их иным образом к приобретению или продаже финансовых инструментов, иностранной валюты и (или) товаров,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  <w:lang w:val="ru-RU" w:eastAsia="ru-RU" w:bidi="ar-SA"/>
              </w:rPr>
              <w:t xml:space="preserve">а так же умышленное использование инсайдерской информации путем ее неправомерной передачи другому лицу. </w:t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color w:val="auto"/>
                <w:spacing w:val="-2"/>
                <w:position w:val="0"/>
                <w:sz w:val="28"/>
                <w:szCs w:val="28"/>
                <w:highlight w:val="whit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Финансовые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инструменты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Ценные бумаги или производные финансовые инструменты Общества (пп. 22 п. 1 ст. 2 Федерального закона от 22.04.1996 № 39-ФЗ «О рынке ценных бумаг»)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 w:eastAsiaTheme="minorHAnsi"/>
                <w:b/>
                <w:bCs/>
                <w:spacing w:val="-2"/>
                <w:sz w:val="28"/>
                <w:szCs w:val="28"/>
                <w:shd w:val="clear" w:color="auto" w:fill="auto"/>
                <w:lang w:eastAsia="ru-RU"/>
              </w:rPr>
              <w:t xml:space="preserve">Операции с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 w:eastAsiaTheme="minorHAnsi"/>
                <w:b/>
                <w:bCs/>
                <w:spacing w:val="-2"/>
                <w:sz w:val="28"/>
                <w:szCs w:val="28"/>
                <w:shd w:val="clear" w:color="auto" w:fill="auto"/>
                <w:lang w:eastAsia="ru-RU"/>
              </w:rPr>
              <w:t xml:space="preserve">финансовыми инструментами, иностранной валютой и (или) товарами (далее-операции)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Совершение сделок и иные действия, направленные на приобретение, отчуждение, ино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е изменение прав на финансовые инструменты, иностранную валюту и (или) товары, а также действия, связанные с принятием обязательств совершить указанные действия, в том числе выставление заявок (дача поручений) или отмена таких заявок (пп.2 п.1 ст.2 Закона)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  <w:shd w:val="clear" w:color="auto" w:fill="auto"/>
              </w:rPr>
              <w:t xml:space="preserve">Организатор торговли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5" w:type="dxa"/>
              <w:right w:w="85" w:type="dxa"/>
            </w:tcMar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Лицо, являющееся организатором торговли в значении, определенном Федеральным </w:t>
            </w:r>
            <w:hyperlink r:id="rId15" w:tooltip="https://login.consultant.ru/link/?req=doc&amp;base=LAW&amp;n=481382&amp;dst=100060" w:history="1">
              <w:r>
                <w:rPr>
                  <w:rFonts w:ascii="Liberation Serif" w:hAnsi="Liberation Serif" w:cs="Times New Roman"/>
                  <w:sz w:val="28"/>
                  <w:szCs w:val="28"/>
                </w:rPr>
                <w:t xml:space="preserve">законом</w:t>
              </w:r>
            </w:hyperlink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«Об организованных торгах», оказывающее услуги по проведению организованных торгов на товарном и (или) финансовом рынках на основании лицензии биржи или лицензии торговой системы</w:t>
            </w:r>
            <w:r/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sz w:val="28"/>
                <w:szCs w:val="28"/>
                <w:lang w:eastAsia="ru-RU"/>
              </w:rPr>
              <w:t xml:space="preserve">(п. 6 ст. 2 Федерального закона от 21.11.2011 № 325-ФЗ «Об организованных торгах»)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Манипулирование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рынком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Умышленные действия, которые определены законодательством Российской Федерации о противодействии неправомерному использованию инсайдерской информации и манипулированию рынком или нормативными актами Банка России, в результате которых цена, сп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рос, предложение или объем торгов финансовым инструментом, иностранной валютой и (или) товаром отклонились от уровня или поддерживались на уровне, существенно отличающемся от того уровня, который сформировался бы без таких действий (пп. 8 п.1 ст. 2 Закона)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Собственный перечень инсайдерской информации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Внутренний нормативный документ</w:t>
            </w:r>
            <w:r>
              <w:rPr>
                <w:rFonts w:ascii="Liberation Serif" w:hAnsi="Liberation Serif" w:cs="Times New Roman"/>
                <w:color w:val="050202"/>
                <w:sz w:val="28"/>
                <w:szCs w:val="28"/>
              </w:rPr>
              <w:t xml:space="preserve">, утвержденный лицом, осуществляющим функции единоличного исполнительного органа Общества, включающий в себя в том числе инсайдерскую информацию, </w:t>
            </w:r>
            <w:hyperlink r:id="rId16" w:tooltip="https://login.consultant.ru/link/?req=doc&amp;base=LAW&amp;n=458427&amp;dst=100014&amp;field=134&amp;date=12.12.2024" w:history="1">
              <w:r>
                <w:rPr>
                  <w:rStyle w:val="798"/>
                  <w:rFonts w:ascii="Liberation Serif" w:hAnsi="Liberation Serif" w:cs="Times New Roman"/>
                  <w:color w:val="050202"/>
                  <w:sz w:val="28"/>
                  <w:szCs w:val="28"/>
                  <w:u w:val="none"/>
                </w:rPr>
                <w:t xml:space="preserve">перечень</w:t>
              </w:r>
            </w:hyperlink>
            <w:r>
              <w:rPr>
                <w:rFonts w:ascii="Liberation Serif" w:hAnsi="Liberation Serif" w:cs="Times New Roman"/>
                <w:color w:val="050202"/>
                <w:sz w:val="28"/>
                <w:szCs w:val="28"/>
              </w:rPr>
              <w:t xml:space="preserve"> которой утверждается нормативным актом Банка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Предоставление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информации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Действия, направленные на получение информации определенным кругом лиц в соответствии с законодательством Российской Федерации о ценных бумагах (п. 4 ст. 2 Закона)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  <w:shd w:val="clear" w:color="auto" w:fill="auto"/>
              </w:rPr>
              <w:t xml:space="preserve">Раскрытие инсайдерской информации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keepLines w:val="0"/>
              <w:keepNext w:val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ru-RU" w:eastAsia="ru-RU" w:bidi="ar-SA"/>
              </w:rPr>
              <w:t xml:space="preserve">Обеспечение ее доступности всем заинтересованн</w:t>
            </w:r>
            <w:r>
              <w:rPr>
                <w:rFonts w:ascii="Liberation Serif" w:hAnsi="Liberation Serif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ru-RU" w:eastAsia="ru-RU" w:bidi="ar-SA"/>
              </w:rPr>
              <w:t xml:space="preserve">ым в этом лицам независимо от целей получения данной информации в соответствии с процедурой, гарантирующей ее нахождение и получение. Раскрытой информацией на рынке ценных бумаг признается информация, в отношении которой проведены действия по ее раскрытию </w:t>
            </w:r>
            <w:r>
              <w:rPr>
                <w:rFonts w:ascii="Liberation Serif" w:hAnsi="Liberation Serif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8"/>
                <w:szCs w:val="28"/>
                <w:u w:val="none"/>
                <w:shd w:val="clear" w:color="auto" w:fill="auto"/>
                <w:vertAlign w:val="baseline"/>
                <w:lang w:val="ru-RU" w:eastAsia="ru-RU" w:bidi="ar-SA"/>
              </w:rPr>
              <w:t xml:space="preserve">(п. 1 ст. 30 Федерального закона от 22.04.1996 № 39-ФЗ «О рынке ценных бумаг»)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Распространение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информации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Действия: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а) направленные на получение информации неопределенным кругом лиц или на передачу информации неопределенному кругу лиц, в том числе путем ее раскрытия в соответствии с законодательством Российской Федерации о ценных бумагах;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б)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связанные с опубликованием информации в средствах массовой информации, в том числе в электронных, информационно- телекоммуникационных сетях, доступ к которым не ограничен определенным кругом лиц (включая информационно-телекоммуникационную сеть «Интернет»);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в) связанные с распространением информации через электронные, информационно-телекоммуникационные сети, доступ к которым не ограничен определенным кругом лиц (включая информационно-телекоммуникационную сеть «Интернет»)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(пп. 5 п. 1 ст. 2 Федерального закона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27.07.2010 № 224-ФЗ «О противодействии неправомерному использованию инсайдерской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информации и манипулированию рынком и о внесении изменений в отдельные законодательные акты Российской Федерации»)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Список инсайдеров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Общества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Список лиц, определенных в статье 4 Закона, который содержит, в том числе персональные данные, являющиеся конфиденциальной информацией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/>
              </w:rPr>
            </w:r>
            <w:r>
              <w:rPr>
                <w:rFonts w:cs="Times New Roman"/>
                <w:b/>
                <w:sz w:val="28"/>
                <w:szCs w:val="28"/>
              </w:rPr>
            </w:r>
            <w:r>
              <w:rPr>
                <w:rFonts w:cs="Times New Roman"/>
                <w:b/>
                <w:sz w:val="28"/>
                <w:szCs w:val="28"/>
              </w:rPr>
            </w:r>
          </w:p>
          <w:p>
            <w:pPr>
              <w:pStyle w:val="762"/>
              <w:ind w:left="0" w:right="113" w:firstLine="0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 xml:space="preserve">Связанные лица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1" w:type="dxa"/>
            <w:vAlign w:val="center"/>
            <w:textDirection w:val="lrTb"/>
            <w:noWrap w:val="false"/>
          </w:tcPr>
          <w:p>
            <w:pPr>
              <w:pStyle w:val="762"/>
              <w:ind w:left="0" w:right="113" w:firstLine="0"/>
              <w:jc w:val="both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Применительно к инсайдеру - юридическому лицу: его аффилированные юридические и физические лица, а применительно к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инсайдеру - физическому лицу: супруг (супруга) инсайдера, его родители, дети, усыновители, усыновленные, полнородные и неполнородные братья и сестры, бабушки и дедушки, а также иное лицо, проживающее совместно с физическим лицом-инсайдером и ведущее с ним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общее хозяйство. (Кодекс Корпоративного управления рекомендованных к  применению Банком России)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</w:tbl>
    <w:p>
      <w:pPr>
        <w:pStyle w:val="762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cs="Times New Roman"/>
          <w:b/>
          <w:bCs/>
          <w:sz w:val="28"/>
          <w:szCs w:val="28"/>
          <w:highlight w:val="none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</w:r>
      <w:r>
        <w:rPr>
          <w:rFonts w:ascii="Liberation Serif" w:hAnsi="Liberation Serif" w:cs="Times New Roman"/>
          <w:b/>
          <w:bCs/>
          <w:sz w:val="28"/>
          <w:szCs w:val="28"/>
          <w:highlight w:val="none"/>
        </w:rPr>
      </w:r>
      <w:r>
        <w:rPr>
          <w:rFonts w:ascii="Liberation Serif" w:hAnsi="Liberation Serif" w:cs="Times New Roman"/>
          <w:b/>
          <w:bCs/>
          <w:sz w:val="28"/>
          <w:szCs w:val="28"/>
          <w:highlight w:val="none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4" w:name="__RefHeading___Toc12983_3573046309"/>
      <w:r/>
      <w:bookmarkStart w:id="5" w:name="_Toc3"/>
      <w:r/>
      <w:bookmarkEnd w:id="4"/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lang w:eastAsia="ru-RU"/>
        </w:rPr>
        <w:t xml:space="preserve">Цели настоящего Положения</w:t>
      </w:r>
      <w:bookmarkEnd w:id="5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Целями настоящего Положения являются: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исполнение Обществом требований законодательства Российской Федерации по противодействию неправомерному использованию инсайдерской информации и манипулированию рынком;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недопущение манипулирования ценами на инсайдерские финансовые инструменты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защита прав и имущественных интересов акционеров Общества и иных владельцев ценных бумаг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защита репутации Общества и повышения уровня доверия к Обществу со стороны акционеров, потенциальных инвесторов, кредиторов, партнеров, профессиональных участников рынка ценных бумаг, государственных органов и иных заинтересованных лиц;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обеспечение экономической безопасности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установление общих норм защиты сведений, составляющих инсайдерскую информацию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контроль за деятельностью лиц, допущенных к инсайдерской информации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6" w:name="__RefHeading___Toc12985_3573046309"/>
      <w:r/>
      <w:bookmarkStart w:id="7" w:name="_Toc4"/>
      <w:r/>
      <w:bookmarkEnd w:id="6"/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lang w:eastAsia="ru-RU"/>
        </w:rPr>
        <w:t xml:space="preserve">Инсайдерская информация</w:t>
      </w:r>
      <w:bookmarkEnd w:id="7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4.1. Под инса</w:t>
      </w:r>
      <w:r>
        <w:rPr>
          <w:rFonts w:ascii="Liberation Serif" w:hAnsi="Liberation Serif" w:cs="Times New Roman"/>
          <w:sz w:val="28"/>
          <w:szCs w:val="28"/>
        </w:rPr>
        <w:t xml:space="preserve">йдерской информацией понимается точная и конкретная информация, которая не была распространена (в том числе сведения, составляющие коммерческую, служебную, банковскую тайну, тайну связи (в части информации о почтовых переводах денежных средств) и иную охра</w:t>
      </w:r>
      <w:r>
        <w:rPr>
          <w:rFonts w:ascii="Liberation Serif" w:hAnsi="Liberation Serif" w:cs="Times New Roman"/>
          <w:sz w:val="28"/>
          <w:szCs w:val="28"/>
        </w:rPr>
        <w:t xml:space="preserve">няемую законом тайну) и распространение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 (далее - эмите</w:t>
      </w:r>
      <w:r>
        <w:rPr>
          <w:rFonts w:ascii="Liberation Serif" w:hAnsi="Liberation Serif" w:cs="Times New Roman"/>
          <w:sz w:val="28"/>
          <w:szCs w:val="28"/>
        </w:rPr>
        <w:t xml:space="preserve">нт), одной или нескольких управляющих компаний инвестиционных фондов, паевых инвестиционных фондов и негосударственных пенсионных фондов (далее - управляющая компания) либо одного или нескольких финансовых инструментов, иностранной валюты и (или) товаров).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4.2. К инсайдерской информации Общества относится информация, исчерпывающий перечень которой включен в перечень инсайдерской информации Общества, включающий в том числе информацию, перечень которой утверждается нормативным правовым актом Банка России.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4.3.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Перечень инсайдерской информации Общества утверждается приказом генерального директора.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auto"/>
        </w:rPr>
        <w:t xml:space="preserve">4.4. Срок и порядок раскрытия и</w:t>
      </w:r>
      <w:r>
        <w:rPr>
          <w:rFonts w:ascii="Liberation Serif" w:hAnsi="Liberation Serif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нсайдерской информа</w:t>
      </w:r>
      <w:r>
        <w:rPr>
          <w:rFonts w:ascii="Liberation Serif" w:hAnsi="Liberation Serif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ции Общества, в том числе не включенной в утвержденный Банком России перечень инсайдерской информации, устанавливаются законодательством Российской Федерации, а также Правилами внутреннего контроля по предотвращению, выявлению и пресечению НИИИМР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4.5. Сведения, не относящиеся к инсайдерской информации: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сведения, ставшие доступными неограниченному кругу лиц, в том числе в результате их распространения;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осуществленные на основе общед</w:t>
      </w:r>
      <w:r>
        <w:rPr>
          <w:rFonts w:ascii="Liberation Serif" w:hAnsi="Liberation Serif" w:cs="Times New Roman"/>
          <w:sz w:val="28"/>
          <w:szCs w:val="28"/>
        </w:rPr>
        <w:t xml:space="preserve">оступной информации исследования, прогнозы и оценки в отношении финансовых инструментов и (или) товаров Общества, а также рекомендации и (или) предложения об осуществлении операций с финансовыми инструментами, иностранной валютой и (или) товарами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- инсайдерская информация после ее официального опубликования.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4.6. В случае если после раскрытия или предоставления инсайдерской информац</w:t>
      </w:r>
      <w:r>
        <w:rPr>
          <w:rFonts w:ascii="Liberation Serif" w:hAnsi="Liberation Serif" w:cs="Times New Roman"/>
          <w:sz w:val="28"/>
          <w:szCs w:val="28"/>
        </w:rPr>
        <w:t xml:space="preserve">ии, сведения, входящие в состав указанной информации, изменяются, информация об этом должна быть в том же порядке раскрыта или представлена не позднее следующего рабочего дня после того, как о таких изменениях стало или должно было стать известно Обществу.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4.7. В случае, если инсайдер раскрывает в ограниченных составе и (или) объеме инсайдер</w:t>
      </w:r>
      <w:r>
        <w:rPr>
          <w:rFonts w:ascii="Liberation Serif" w:hAnsi="Liberation Serif" w:cs="Times New Roman"/>
          <w:sz w:val="28"/>
          <w:szCs w:val="28"/>
        </w:rPr>
        <w:t xml:space="preserve">скую информацию, подлежащую раскрытию в соответствии с требованиями Закона, он обязан направить в Банк России уведомление, содержащее инсайдерскую информацию, которая не раскрывается, в форме электронного документа в сроки, установленные для ее раскрытия.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4.8</w:t>
      </w:r>
      <w:bookmarkStart w:id="8" w:name="_GoBack"/>
      <w:r/>
      <w:bookmarkEnd w:id="8"/>
      <w:r>
        <w:rPr>
          <w:rFonts w:ascii="Liberation Serif" w:hAnsi="Liberation Serif" w:cs="Times New Roman"/>
          <w:sz w:val="28"/>
          <w:szCs w:val="28"/>
        </w:rPr>
        <w:t xml:space="preserve">. Ответственность за актуализацию перечня инсайдерской информации возлагается на подразделение направления по корпоративной работе.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4.9.Прави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ла обращения с инсайдерской информацией в Обществе</w:t>
      </w:r>
      <w:hyperlink w:tooltip="#__RefHeading___Toc61976_3117315556" w:anchor="__RefHeading___Toc61976_3117315556" w:history="1">
        <w:r>
          <w:rPr>
            <w:rStyle w:val="799"/>
            <w:rFonts w:ascii="Liberation Serif" w:hAnsi="Liberation Serif" w:eastAsia="Liberation Serif" w:cs="Liberation Serif"/>
            <w:b w:val="0"/>
            <w:bCs w:val="0"/>
            <w:color w:val="auto"/>
            <w:sz w:val="28"/>
            <w:szCs w:val="28"/>
            <w:u w:val="none"/>
          </w:rPr>
          <w:t xml:space="preserve">, </w:t>
        </w:r>
      </w:hyperlink>
      <w:r>
        <w:rPr>
          <w:rFonts w:ascii="Liberation Serif" w:hAnsi="Liberation Serif" w:eastAsia="Liberation Serif" w:cs="Liberation Serif"/>
          <w:color w:val="auto"/>
          <w:sz w:val="28"/>
          <w:szCs w:val="28"/>
          <w:u w:val="none"/>
        </w:rPr>
        <w:t xml:space="preserve">правила осуществления инсайдерами Общества операций с финансовыми инструментами Общества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порядок и сроки раскрытия инсайдерской информации, порядок деятельности, функции, а также права и обязанности ответственного должностного лица за осуществлением контроля по соблюдению Обществом требований законодательства об инсайде,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содержатся в Правилах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</w:rPr>
        <w:t xml:space="preserve">внутреннего контроля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ffffff" w:themeColor="background1" w:fill="ffffff" w:themeFill="background1"/>
        </w:rPr>
        <w:t xml:space="preserve">по </w:t>
      </w:r>
      <w:r>
        <w:rPr>
          <w:rFonts w:ascii="Liberation Serif" w:hAnsi="Liberation Serif" w:eastAsia="Liberation Serif" w:cs="Liberation Serif"/>
          <w:b w:val="0"/>
          <w:i w:val="0"/>
          <w:caps w:val="0"/>
          <w:smallCaps w:val="0"/>
          <w:color w:val="000000"/>
          <w:spacing w:val="0"/>
          <w:sz w:val="28"/>
          <w:szCs w:val="28"/>
          <w:highlight w:val="white"/>
          <w:shd w:val="clear" w:color="auto" w:fill="ffff00"/>
        </w:rPr>
        <w:t xml:space="preserve">предотвращению, выявлению и пресечению НИИИМР Общества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9" w:name="__RefHeading___Toc12987_3573046309"/>
      <w:r/>
      <w:bookmarkStart w:id="10" w:name="_Toc5"/>
      <w:r/>
      <w:bookmarkEnd w:id="9"/>
      <w:r>
        <w:rPr>
          <w:rFonts w:ascii="Liberation Serif" w:hAnsi="Liberation Serif" w:cs="Times New Roman"/>
          <w:b/>
          <w:bCs/>
          <w:sz w:val="28"/>
          <w:szCs w:val="28"/>
        </w:rPr>
        <w:t xml:space="preserve">Правила составления списка инсайдеро</w:t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lang w:eastAsia="ru-RU"/>
        </w:rPr>
        <w:t xml:space="preserve">в</w:t>
      </w:r>
      <w:bookmarkEnd w:id="10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5.1. В целях учета инсайдеров в Обществе организовано ведение Списка инсайдеров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5.2. Общество ведет список инсайдеров как эмитент, акции которого обращаются на рынке ценных бумаг Российской Федерации.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5.3. Общество обязано вести список инсайдеров по любому иному основанию, предусмотренному законодательством Российской Федерации, в случае возникновения такого основания.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5.4. Инсайдерами Общества являются и в список инсайдеров Общества включаются: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лица, имеющие доступ к инсайдерской информации Общества на основании договоров, заключенных Обществом с соответствующими лицами;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Члены Совета Директоров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Единоличный исполнительный орган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Члены Ревизионной комиссии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Информационные агентства, осуществляющие раскрытие или предоставление информации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Лица, осуществляющие присвоение рейтингов Обществу, а также ценным бумагам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Физические лица, имеющие доступ к инсайдерской информации Общества на основании трудовых и (или) гражданско-правовых договоров, заключенных с соответствующими лицами;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3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Иные лица, включение которых в список инсайдеров Общества обязательно в силу требований законодательства Российской Федерации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Перечень должностей лиц, имеющих доступ к инсайдерской информации Общества установлен Приказом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Список инсайдеров Общества должен содержать следующую информацию об Обществе: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полное фирменное наименование Общества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сокращенное фирменное наименование Общества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ИНН Общества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ОГРН Общества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место нахождения и почтовый адрес;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контактный телефон, факс, и адрес электронной почты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Список инсайдеров Общества может содержать следующую информацию об инсайдерах-юридических лицах: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полное фирменное наименование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ИНН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ОГРН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место нахождения и почтовый адрес;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контактный телефон, факс и адрес электронной почты.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Список инсайдеров Общества может содержать следующую информацию об инсайдерах-физических лицах: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фамилию, имя, отчество</w:t>
      </w:r>
      <w:r>
        <w:rPr>
          <w:rFonts w:ascii="Liberation Serif" w:hAnsi="Liberation Serif" w:cs="Times New Roman"/>
          <w:sz w:val="28"/>
          <w:szCs w:val="28"/>
          <w:lang w:val="en-US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сведения о дате и месте рождения физического лица;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сведения о документе, удостоверяющем личность (серия, номер);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сведения о дате выдачи документа, удостоверяющего личность, и об органе, выдавшем документ (наименование, код подразделения);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сведения о месте жительства физического лица;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сведения об адресе, по которому физическое лицо получает информацию (документы).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contextualSpacing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Список инсайдеров Общества должен содержать сведения о дате и основании включения лица в список инсайдеров Общества, а также сведения о дате и основании исключения лица из Списка Инсайдеров Общества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5.5. 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Ведение списка инсайдеров Общества возлагается на структурное подразделение направления по корпоративной работе.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5</w:t>
      </w:r>
      <w:r>
        <w:rPr>
          <w:rFonts w:ascii="Liberation Serif" w:hAnsi="Liberation Serif" w:cs="Times New Roman"/>
          <w:sz w:val="28"/>
          <w:szCs w:val="28"/>
        </w:rPr>
        <w:t xml:space="preserve">.6. Список инсайдеров передается организаторам торговли, которые совершаются операции с финансовыми инструментами, в Банк России по письменному требованию (запросу) о передаче списка инсайдеров.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5.7. Основаниями для включения в список инсайдеров являются: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заключение договора (гражданско-правового или трудового), в силу которого лицо получает доступ к инсайдерской информации;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внесение в трудовой договор и/или должностную инструкцию изменений, в результате которых работнику предоставляется доступ к инсайдерской информации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временное предоставление работнику Общества доступа к инсайдерской информации в связи с исполнением отдельных трудовых обязанностей с заключением соответствующего дополнительного соглашения;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избрание лица в состав органов управления и контроля Общества, (члены Совета дир</w:t>
      </w:r>
      <w:r>
        <w:rPr>
          <w:rFonts w:ascii="Liberation Serif" w:hAnsi="Liberation Serif" w:cs="Times New Roman"/>
          <w:sz w:val="28"/>
          <w:szCs w:val="28"/>
        </w:rPr>
        <w:t xml:space="preserve">екторов, члены комитетов при Совете директоров, члены Правления, лицо, осуществляющее функции единоличного исполнительного органа, в том числе управляющая организация, управляющий или временный единоличный исполнительный орган, члены ревизионной комиссии);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представление в Банк России предварительного уведомления о направлении добровольного, обязательного или конкурирующего п</w:t>
      </w:r>
      <w:r>
        <w:rPr>
          <w:rFonts w:ascii="Liberation Serif" w:hAnsi="Liberation Serif" w:cs="Times New Roman"/>
          <w:sz w:val="28"/>
          <w:szCs w:val="28"/>
        </w:rPr>
        <w:t xml:space="preserve">редложения о приобретении ценных бумаг в соответствии с законодательством Российской Федерации об акционерных обществах или направление в Общество добровольного, обязательного или конкурирующего предложения, а также лица, имеющие доступ к такой информации;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получение доступа к инсайдерской информации при ее раскрытии;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заключение договора с информационным агентством, осуществляющим раскрытие инсайдерской информации.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предоставление рейтинговому агентству доступа к инсайдерской информации на основании заключенного договора о присвоении рейтинга Обществу и/или ценным бумагам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contextualSpacing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5.8. Основанием для исключения лица из списка инсайдеров является: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потеря Обществом статуса инсайдера, в том числе в связи с прекращением допуска финансовых инструментов Общества к торговле на организованных торгах на территории Российской Федерации.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расторжение/прекращение заключенного с лицом, включенного в список инсайдеров Общества, гражданско-правового или трудового договора и прекращение доступа такого лица к инсайдерской информации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прекращение, в том числе досрочное, полномочий члена органа управления и контроля Общества (члена </w:t>
      </w:r>
      <w:r>
        <w:rPr>
          <w:rFonts w:ascii="Liberation Serif" w:hAnsi="Liberation Serif" w:cs="Times New Roman"/>
          <w:sz w:val="28"/>
          <w:szCs w:val="28"/>
        </w:rPr>
        <w:t xml:space="preserve">Совета директоров, члена коллегиального исполнительного органа, члена ревизионной комиссии, в том числе управляющей организации Общества и ее членов органа управления и контроля), консультативно-совещательного органа (члена комитета при Совете директоров);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получение предписания Банка России об исключении конкретного лица из списка инсайдеров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получение вступившего в законную силу решения судебного органа об исключении конкретного лица из списка инсайдеров;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обоснованное обращение лица, ошибочно включенного в список инсайдеров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прекращение деятельности юридического лица в результате ликвидации или реорганизации с исключением его из Единого государственного реестра юридических лиц;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смерть физического лица, объявление его умершим или признание его безвестно отсутствующим.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0" w:right="0" w:firstLine="709"/>
        <w:jc w:val="both"/>
        <w:spacing w:before="0" w:after="0" w:line="285" w:lineRule="atLeast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5.9.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Инсайдерская информация может быть передана юридическим лицам на основании заключенных договоров после включения указанных лиц в список инсайдеров.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5.10. Список инсайдеров подлежит обновлению по мере появления изменений в категориях лиц, признанных инсайдерами Общества, и по мере получения уведомлений об изменениях паспортных данных инсайдеров.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5.11. Ответственность за информирование структурного подразделения направле</w:t>
      </w:r>
      <w:r>
        <w:rPr>
          <w:rFonts w:ascii="Liberation Serif" w:hAnsi="Liberation Serif" w:cs="Times New Roman"/>
          <w:sz w:val="28"/>
          <w:szCs w:val="28"/>
        </w:rPr>
        <w:t xml:space="preserve">ния по корпоративной работе  о возникновении или прекращении у лица оснований доступа к инсайдерской информации и предоставление о нем сведений по форме Приложения 1 к настоящему Положению возлагается на руководителя структурного подразделения, ответственн</w:t>
      </w:r>
      <w:r>
        <w:rPr>
          <w:rFonts w:ascii="Liberation Serif" w:hAnsi="Liberation Serif" w:cs="Times New Roman"/>
          <w:sz w:val="28"/>
          <w:szCs w:val="28"/>
        </w:rPr>
        <w:t xml:space="preserve">ого за заключение трудового либо гражданско-правового договора Общества с данным лицом (а в случае, если инсайдер является работником Общества – также сам инсайдер), в иных случаях на руководителя структурного подразделения взаимодействующего с инсайдером.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5.12. 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с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лучае изменения указанных в Приложении 1 к настоящему Положению  сведений об инсайдере руководитель структурного подразделения, ответственного за заключение/расторжение трудового либо гражданско-правового договора Общества с инсайдером (а в случае, если ин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сайдер является работником Общества – также сам инсайдер), обязан информировать структурное подразделение направления по корпоративной работе о произошедших изменениях в течение 1(одного) рабочего дня с момента, когда ему стало известно о таких изменениях.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В случае расторжения трудового договора с инсайдером руководитель структурного подразделения, ответственного за заключение/расторжение трудовог</w:t>
      </w:r>
      <w:r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о либо гражданско-правового договора Общества с инсайдером (а в случае, если инсайдер является работником Общества – также сам инсайдер) информирует структурное подразделение,направления по корпоративной работе, в течение последнего рабочего дня инсайдера.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5.13. Общество обязано уведомить лицо о включении </w:t>
      </w:r>
      <w:r>
        <w:rPr>
          <w:rFonts w:ascii="Liberation Serif" w:hAnsi="Liberation Serif" w:cs="Times New Roman"/>
          <w:sz w:val="28"/>
          <w:szCs w:val="28"/>
        </w:rPr>
        <w:t xml:space="preserve">его в список инсайдеров или исключении из него не позднее 7 (семи) рабочих дней с даты включения лица в список инсайдеров или даты исключения данного лица из указанного списка в соответствии с формами, указанными в Приложениях 2 и 3 к настоящему Положению.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5.14. Уведомление должно быть подписано уполномоченным на подписание лицом и скреплено печатью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5.15. Общество передает Уведомление о</w:t>
      </w:r>
      <w:r>
        <w:rPr>
          <w:rFonts w:ascii="Liberation Serif" w:hAnsi="Liberation Serif" w:cs="Times New Roman"/>
          <w:sz w:val="28"/>
          <w:szCs w:val="28"/>
        </w:rPr>
        <w:t xml:space="preserve"> включении/исключении лица в список инсайдеров Общества под роспись непосредственно лицу, включенному в список инсайдеров Общества, или посредством почтовой, телеграфной, телетайпной, электронной связи, позволяющей установить факт направления Уведомления.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5.16. В случае если Уведомление, направленное Обществом по последнему из известных ему а</w:t>
      </w:r>
      <w:r>
        <w:rPr>
          <w:rFonts w:ascii="Liberation Serif" w:hAnsi="Liberation Serif" w:cs="Times New Roman"/>
          <w:sz w:val="28"/>
          <w:szCs w:val="28"/>
        </w:rPr>
        <w:t xml:space="preserve">дресов, не было получено инсайдером по обстоятельствам, не зависящим от Общества, Общество предпринимает обоснованные и доступные в сложившихся обстоятельствах меры по установлению адреса соответствующего лица, на который может быть направлено Уведомление.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</w:t>
      </w:r>
      <w:r>
        <w:rPr>
          <w:rFonts w:ascii="Liberation Serif" w:hAnsi="Liberation Serif" w:cs="Times New Roman"/>
          <w:sz w:val="28"/>
          <w:szCs w:val="28"/>
        </w:rPr>
        <w:t xml:space="preserve">7. В случае внесения изменений в реквизиты Общества (полное фирменное наименование, ИНН и ОГРН, место нахождения, иной адрес для получения почтовой корреспонденции, контактный телефон, факс и адрес электронной почты), Общество информирует в установленном п</w:t>
      </w:r>
      <w:r>
        <w:rPr>
          <w:rFonts w:ascii="Liberation Serif" w:hAnsi="Liberation Serif" w:cs="Times New Roman"/>
          <w:sz w:val="28"/>
          <w:szCs w:val="28"/>
        </w:rPr>
        <w:t xml:space="preserve">орядке лиц, включенных в список инсайдеров Общества, о произошедших изменениях в течение 5 (пяти) рабочих дней с даты произошедших изменений или в течение 5 (пяти) рабочих дней с даты, когда Общество узнало или должно было узнать о произошедших изменениях.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5.18. Общество ведет учет всех направ</w:t>
      </w:r>
      <w:r>
        <w:rPr>
          <w:rFonts w:ascii="Liberation Serif" w:hAnsi="Liberation Serif" w:cs="Times New Roman"/>
          <w:sz w:val="28"/>
          <w:szCs w:val="28"/>
        </w:rPr>
        <w:t xml:space="preserve">ленных Уведомлений в соответствии с требованиями, установленными приказами Банка России. Копии таких Уведомлений и полная информация об их направлении хранится в Обществе в течение не менее 5 (пяти) лет с даты исключения лица из списка инсайдеров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5.19. Ответственность за учет и хранение Уведомлений возлагается на структурное подразделение направление по корпоративной работе.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5.20.</w:t>
      </w: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 Подразделение </w:t>
      </w:r>
      <w:r>
        <w:rPr>
          <w:rFonts w:ascii="Liberation Serif" w:hAnsi="Liberation Serif" w:cs="Times New Roman"/>
          <w:sz w:val="28"/>
          <w:szCs w:val="28"/>
        </w:rPr>
        <w:t xml:space="preserve">направления по корпоративной работе</w:t>
      </w: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 в том числе осуществляет следующие функции: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-осуществляет методологическую помощь должностным лицам и подразделениям Общества по вопросам своей компетенции;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-осуществляет иные задачи, связанные с выполнением требований Закона, принятых в соответствии с ним нормативно-правовых актов и настоящего Положения.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1258" w:leader="none"/>
        </w:tabs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bCs/>
          <w:sz w:val="28"/>
          <w:szCs w:val="28"/>
          <w:lang w:eastAsia="ru-RU"/>
        </w:rPr>
        <w:t xml:space="preserve">5.21. 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При осуществлении своей деятельности </w:t>
      </w: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работники 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подразделения направления по корпоративной работе вправе запрашивать  и получать от лиц, включенных в Список  инсайдеров, а также от должностных лиц и подразделений Общества, любую необходимую информацию и (или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  <w:t xml:space="preserve">) документы связанные с неисполнением (неисполнением) законодательства Российской Федерации в области обращения инсайдерской информации и манипулирования рынком, настоящего Положения и принятых в соответствии с ними локальными нормативными актами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5.22. </w:t>
      </w:r>
      <w:r>
        <w:rPr>
          <w:rFonts w:ascii="Liberation Serif" w:hAnsi="Liberation Serif" w:cs="Times New Roman"/>
          <w:sz w:val="28"/>
          <w:szCs w:val="28"/>
        </w:rPr>
        <w:t xml:space="preserve">Подразделени</w:t>
      </w:r>
      <w:r>
        <w:rPr>
          <w:rFonts w:ascii="Liberation Serif" w:hAnsi="Liberation Serif"/>
          <w:sz w:val="28"/>
          <w:szCs w:val="28"/>
        </w:rPr>
        <w:t xml:space="preserve">е</w:t>
      </w:r>
      <w:r>
        <w:rPr>
          <w:rFonts w:ascii="Liberation Serif" w:hAnsi="Liberation Serif" w:cs="Times New Roman"/>
          <w:sz w:val="28"/>
          <w:szCs w:val="28"/>
        </w:rPr>
        <w:t xml:space="preserve"> направления по корпоративной работе формирует для ОДЛ Общества отчет об исполнении Обществом требований законодательства Российской Федерации в обл</w:t>
      </w:r>
      <w:r>
        <w:rPr>
          <w:rFonts w:ascii="Liberation Serif" w:hAnsi="Liberation Serif" w:cs="Times New Roman"/>
          <w:sz w:val="28"/>
          <w:szCs w:val="28"/>
          <w:shd w:val="clear" w:color="auto" w:fill="auto"/>
        </w:rPr>
        <w:t xml:space="preserve">асти </w:t>
      </w:r>
      <w:r>
        <w:rPr>
          <w:rFonts w:ascii="Liberation Serif" w:hAnsi="Liberation Serif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выявления и пресечения НИИИМР,</w:t>
      </w:r>
      <w:r>
        <w:rPr>
          <w:rFonts w:ascii="Liberation Serif" w:hAnsi="Liberation Serif" w:cs="Times New Roman"/>
          <w:sz w:val="28"/>
          <w:szCs w:val="28"/>
          <w:shd w:val="clear" w:color="auto" w:fill="auto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настоящего Положения и Правил внутреннего контроля.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11" w:name="__RefHeading___Toc12989_3573046309"/>
      <w:r/>
      <w:bookmarkStart w:id="12" w:name="_Toc6"/>
      <w:r/>
      <w:bookmarkEnd w:id="11"/>
      <w:r>
        <w:rPr>
          <w:rFonts w:ascii="Liberation Serif" w:hAnsi="Liberation Serif" w:cs="Times New Roman"/>
          <w:b/>
          <w:bCs/>
          <w:sz w:val="28"/>
          <w:szCs w:val="28"/>
        </w:rPr>
        <w:t xml:space="preserve">Защита инсайдерской информации</w:t>
      </w:r>
      <w:bookmarkEnd w:id="12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6.1. Лица, включенные в список инсайдеров Общества, обязаны соблюдать требования, установленные законодательством Российской Федерации, настоящим Положением и Правилами внутреннего контроля 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lang w:eastAsia="ru-RU"/>
        </w:rPr>
        <w:t xml:space="preserve">по предотвращению, выявлению и пресечению НИИИМР и </w:t>
      </w: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иными внутренними документами Общества в отношении: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142" w:firstLine="284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09" w:leader="none"/>
        </w:tabs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правил обращения инсайдерской информации в Обществе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142" w:firstLine="284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09" w:leader="none"/>
        </w:tabs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правил осуществления операций инсайдерами Общества с финансовыми инструментами Общества;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4"/>
        </w:numPr>
        <w:contextualSpacing/>
        <w:ind w:left="142" w:firstLine="284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709" w:leader="none"/>
        </w:tabs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иных установленных требований в соответствии с законодательством Российской Федерации.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lang w:eastAsia="ru-RU"/>
        </w:rPr>
        <w:t xml:space="preserve">6.2. Общество вносит изменения в трудовые и гражданско-правовые договоры c инсайдерами, получающими доступ к инсайдерской информации, в виде дополнительных соглашений к трудовым договорам и соглашений о </w:t>
      </w:r>
      <w:r>
        <w:rPr>
          <w:rFonts w:ascii="Liberation Serif" w:hAnsi="Liberation Serif" w:eastAsia="Arial" w:cs="Times New Roman" w:eastAsiaTheme="minorEastAsia"/>
          <w:color w:val="000000"/>
          <w:sz w:val="28"/>
          <w:szCs w:val="28"/>
          <w:shd w:val="clear" w:color="auto" w:fill="auto"/>
          <w:lang w:eastAsia="ru-RU"/>
        </w:rPr>
        <w:t xml:space="preserve">конфиденциальности инсайдерской информации к гражданско-правовым договорам.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  <w:shd w:val="clear" w:color="auto" w:fill="auto"/>
        </w:rPr>
        <w:t xml:space="preserve">6.3. В целях предотвращения, выявления и пресечения неправомерного использования инсайдерской информации и (или) манипулирования рынком в Обществе: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shd w:val="clear" w:color="auto" w:fill="auto"/>
          <w:lang w:eastAsia="ru-RU"/>
        </w:rPr>
        <w:t xml:space="preserve">1) разработаны и утверждены порядок доступа к инсайдерской информации, правила охраны ее конфиденциальности и контроля за соблюдением требований Закона и принятых в соответствии с ним нормативных актов;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shd w:val="clear" w:color="auto" w:fill="auto"/>
          <w:lang w:eastAsia="ru-RU"/>
        </w:rPr>
        <w:t xml:space="preserve">2) назначено О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тветственное должностное лицо отвечающее</w:t>
      </w:r>
      <w:r>
        <w:rPr>
          <w:rFonts w:ascii="Liberation Serif" w:hAnsi="Liberation Serif" w:eastAsia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ascii="Liberation Serif" w:hAnsi="Liberation Serif" w:eastAsia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за осуществление  контроля по соблюдению Обществом требований Закона</w:t>
      </w:r>
      <w:r>
        <w:rPr>
          <w:rFonts w:ascii="Liberation Serif" w:hAnsi="Liberation Serif" w:eastAsia="Times New Roman" w:cs="Times New Roman"/>
          <w:sz w:val="28"/>
          <w:szCs w:val="28"/>
          <w:shd w:val="clear" w:color="auto" w:fill="auto"/>
          <w:lang w:eastAsia="ru-RU"/>
        </w:rPr>
        <w:t xml:space="preserve">;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sz w:val="28"/>
          <w:szCs w:val="28"/>
          <w:shd w:val="clear" w:color="auto" w:fill="auto"/>
          <w:lang w:eastAsia="ru-RU"/>
        </w:rPr>
        <w:t xml:space="preserve">3) обеспечены условия для беспрепятственного и эффективного осуществления ОДЛ своих функций.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13" w:name="__RefHeading___Toc12991_3573046309"/>
      <w:r/>
      <w:bookmarkStart w:id="14" w:name="_Toc7"/>
      <w:r/>
      <w:bookmarkEnd w:id="13"/>
      <w:r>
        <w:rPr>
          <w:rFonts w:ascii="Liberation Serif" w:hAnsi="Liberation Serif" w:eastAsia="Arial" w:cs="Times New Roman" w:eastAsiaTheme="minorEastAsia"/>
          <w:b/>
          <w:bCs/>
          <w:sz w:val="28"/>
          <w:szCs w:val="28"/>
          <w:lang w:eastAsia="ru-RU"/>
        </w:rPr>
        <w:t xml:space="preserve">Порядок классификации и хранения носителей инсайдерской </w:t>
      </w:r>
      <w:r>
        <w:rPr>
          <w:rFonts w:ascii="Liberation Serif" w:hAnsi="Liberation Serif" w:cs="Times New Roman"/>
          <w:b/>
          <w:bCs/>
          <w:sz w:val="28"/>
          <w:szCs w:val="28"/>
          <w:lang w:eastAsia="ru-RU"/>
        </w:rPr>
        <w:t xml:space="preserve">информации</w:t>
      </w:r>
      <w:bookmarkEnd w:id="14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829"/>
        <w:numPr>
          <w:ilvl w:val="1"/>
          <w:numId w:val="1"/>
        </w:numPr>
        <w:contextualSpacing/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Принадлежность документов и сведений к инсайдерской информации определяется Обществом самостоятельно, исходя из критериев, определенных действующим законодательством и настоящим Положением.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762"/>
        <w:numPr>
          <w:ilvl w:val="1"/>
          <w:numId w:val="1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Материальные носители (документы), содержащие инсайдерскую информацию, должны находиться в местах хранения, отвечающих требованиям безопасности, исключающим несанкционированный доступ.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762"/>
        <w:numPr>
          <w:ilvl w:val="1"/>
          <w:numId w:val="1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Инсайдер</w:t>
      </w: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ская информация, передаваемая в электронном виде, должна содержать подпись, указывающую на конфиденциальность содержащейся информации, ответственности за ее неправомерное использование, и необходимость уничтожения ее в случае попадания ошибочному адресату.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762"/>
        <w:numPr>
          <w:ilvl w:val="1"/>
          <w:numId w:val="1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left" w:pos="706" w:leader="none"/>
          <w:tab w:val="clear" w:pos="708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Категорически запрещается выносить за пределы помещений Общества документы, содержащие инсайдерскую информацию, кроме случаев производственной необходимости и согласования с руководителем подразделения.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762"/>
        <w:numPr>
          <w:ilvl w:val="1"/>
          <w:numId w:val="1"/>
        </w:num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left" w:pos="706" w:leader="none"/>
          <w:tab w:val="clear" w:pos="708" w:leader="none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eastAsia="Arial" w:cs="Times New Roman" w:eastAsiaTheme="minorEastAsia"/>
          <w:sz w:val="28"/>
          <w:szCs w:val="28"/>
          <w:lang w:eastAsia="ru-RU"/>
        </w:rPr>
        <w:t xml:space="preserve">Не допускается оставление на рабочих столах документов, содержащих инсайдерскую информацию, при выходе из помещений.</w:t>
      </w: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p>
      <w:pPr>
        <w:pStyle w:val="763"/>
        <w:numPr>
          <w:ilvl w:val="0"/>
          <w:numId w:val="5"/>
        </w:numPr>
        <w:spacing w:before="170" w:after="170"/>
        <w:rPr>
          <w:sz w:val="28"/>
          <w:szCs w:val="28"/>
          <w:highlight w:val="none"/>
        </w:rPr>
      </w:pPr>
      <w:r>
        <w:rPr>
          <w:sz w:val="28"/>
          <w:szCs w:val="28"/>
        </w:rPr>
      </w:r>
      <w:bookmarkStart w:id="15" w:name="__RefHeading___Toc12993_3573046309"/>
      <w:r>
        <w:rPr>
          <w:sz w:val="28"/>
          <w:szCs w:val="28"/>
        </w:rPr>
      </w:r>
      <w:bookmarkStart w:id="16" w:name="_Toc8"/>
      <w:r>
        <w:rPr>
          <w:sz w:val="28"/>
          <w:szCs w:val="28"/>
        </w:rPr>
      </w:r>
      <w:bookmarkEnd w:id="15"/>
      <w:r>
        <w:rPr>
          <w:rFonts w:ascii="Liberation Serif" w:hAnsi="Liberation Serif" w:eastAsia="Arial" w:cs="Times New Roman" w:eastAsiaTheme="minorEastAsia"/>
          <w:b/>
          <w:bCs/>
          <w:sz w:val="28"/>
          <w:szCs w:val="28"/>
          <w:lang w:eastAsia="ru-RU"/>
        </w:rPr>
        <w:t xml:space="preserve">Ответственность </w:t>
      </w:r>
      <w:bookmarkEnd w:id="16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8.1. Инсайдеры Общества, являющиеся работниками Общества, несут ответственность</w:t>
      </w:r>
      <w:r>
        <w:rPr>
          <w:rFonts w:ascii="Liberation Serif" w:hAnsi="Liberation Serif" w:cs="Times New Roman"/>
          <w:sz w:val="28"/>
          <w:szCs w:val="28"/>
        </w:rPr>
        <w:t xml:space="preserve"> за неправомерное использование инсайдерской информации и могут быть привлечены к дисциплинарной, административной, уголовной или гражданско-правовой ответственности в соответствии с законодательством Российской Федерации и условиями договоров с Обществом.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8.2. Инсайдеры Общества, не являющиеся работниками Общества,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несут ответственность за неправомерное использование инсайдерской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информации и могут быть привлечены к административной, уголовной или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гражданско-правовой ответственности в соответствии законодательством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Российской Федерации и условиями договоров с Обществом.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8.3. К ответственности также могут быть привлечены и иные лица, не включенные в Список ин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сайдеров Общества, но распространяющие инсайдерскую информацию или совершающие операции с финансовыми инструментами и (или) товарами Общества с использованием инсайдерской информации за исключениями, предусмотренными законодательством Российской Федерации.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8.4. Любое лицо, распространившее ложные сведения, не несет ответственности за манипулирование рынком, если оно не знало и не должно было знать, что распространенные сведения являются ложными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8.5. Лица, допустившие несанкционированное распространение, совершение сделок или иное неправомерное использование инсайдерской информации, несут ответственность за их виновные действия, бездействие.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8.6. В случаях и порядке, предусмотренных законодательством Российской Фе</w:t>
      </w:r>
      <w:r>
        <w:rPr>
          <w:rFonts w:ascii="Liberation Serif" w:hAnsi="Liberation Serif" w:cs="Times New Roman"/>
          <w:sz w:val="28"/>
          <w:szCs w:val="28"/>
        </w:rPr>
        <w:t xml:space="preserve">дерации, Общество и (или) лица, понесшие убытки в результате неправомерного использования и/или распространения инсайдерской информации, вправе потребовать возмещения причиненных им убытков от лиц, в результате действий которых были причинены такие убытки.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3"/>
        <w:numPr>
          <w:ilvl w:val="0"/>
          <w:numId w:val="5"/>
        </w:numPr>
        <w:spacing w:before="170" w:after="170"/>
        <w:rPr>
          <w:rFonts w:ascii="Liberation Serif" w:hAnsi="Liberation Serif"/>
          <w:b/>
          <w:bCs/>
          <w:sz w:val="28"/>
          <w:szCs w:val="28"/>
        </w:rPr>
      </w:pPr>
      <w:r/>
      <w:bookmarkStart w:id="17" w:name="__RefHeading___Toc12995_3573046309"/>
      <w:r/>
      <w:bookmarkStart w:id="18" w:name="_Toc9"/>
      <w:r/>
      <w:bookmarkEnd w:id="17"/>
      <w:r>
        <w:rPr>
          <w:rFonts w:ascii="Liberation Serif" w:hAnsi="Liberation Serif" w:eastAsia="Arial" w:cs="Times New Roman" w:eastAsiaTheme="minorEastAsia"/>
          <w:b/>
          <w:bCs/>
          <w:sz w:val="28"/>
          <w:szCs w:val="28"/>
          <w:lang w:eastAsia="ru-RU"/>
        </w:rPr>
        <w:t xml:space="preserve">Заключительные положения</w:t>
      </w:r>
      <w:bookmarkEnd w:id="18"/>
      <w:r>
        <w:rPr>
          <w:rFonts w:ascii="Liberation Serif" w:hAnsi="Liberation Serif"/>
          <w:b/>
          <w:bCs/>
          <w:sz w:val="28"/>
          <w:szCs w:val="28"/>
        </w:rPr>
      </w:r>
      <w:r>
        <w:rPr>
          <w:rFonts w:ascii="Liberation Serif" w:hAnsi="Liberation Serif"/>
          <w:b/>
          <w:bCs/>
          <w:sz w:val="28"/>
          <w:szCs w:val="28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9.1. Утверждение настоящего Положения, а также изменения и дополнения в него (утверждение Положения в новой редакции) подлежит Совету директоров Общества.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tabs>
          <w:tab w:val="clear" w:pos="708" w:leader="none"/>
          <w:tab w:val="left" w:pos="1134" w:leader="none"/>
          <w:tab w:val="left" w:pos="1276" w:leader="none"/>
        </w:tabs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9.2. В случае внесения изменений в законодательство Российской Федерации в области противодействия неправомерному использованию инсайдерской информации, настоящее Положение будет действовать в части, не противоречащей законодательству Российской Федерации.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sectPr>
          <w:footerReference w:type="default" r:id="rId10"/>
          <w:footnotePr/>
          <w:endnotePr/>
          <w:type w:val="nextPage"/>
          <w:pgSz w:w="11906" w:h="16838" w:orient="portrait"/>
          <w:pgMar w:top="1134" w:right="709" w:bottom="1134" w:left="1134" w:header="0" w:footer="709" w:gutter="0"/>
          <w:cols w:num="1" w:sep="0" w:space="1701" w:equalWidth="1"/>
          <w:docGrid w:linePitch="360"/>
        </w:sectPr>
      </w:pPr>
      <w:r>
        <w:rPr>
          <w:rFonts w:ascii="Liberation Serif" w:hAnsi="Liberation Serif" w:cs="Times New Roman"/>
          <w:sz w:val="28"/>
          <w:szCs w:val="28"/>
        </w:rPr>
        <w:t xml:space="preserve">9.3. Недействительность отдельных норм настоящего Положения не влечет признание недействительности других норм настоящего Положения или Положения в целом.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jc w:val="left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 w:eastAsia="Times New Roman" w:cs="Times New Roman"/>
          <w:b/>
          <w:bCs/>
          <w:sz w:val="24"/>
          <w:szCs w:val="24"/>
          <w:highlight w:val="none"/>
        </w:rPr>
      </w:pPr>
      <w:r>
        <w:rPr>
          <w:rFonts w:ascii="Liberation Serif" w:hAnsi="Liberation Serif" w:eastAsia="Times New Roman" w:cs="Times New Roman"/>
          <w:b/>
          <w:bCs/>
          <w:sz w:val="24"/>
          <w:szCs w:val="24"/>
        </w:rPr>
      </w: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none"/>
        </w:rPr>
      </w:r>
      <w:r>
        <w:rPr>
          <w:rFonts w:ascii="Liberation Serif" w:hAnsi="Liberation Serif" w:eastAsia="Times New Roman" w:cs="Times New Roman"/>
          <w:b/>
          <w:bCs/>
          <w:sz w:val="24"/>
          <w:szCs w:val="24"/>
          <w:highlight w:val="none"/>
        </w:rPr>
      </w:r>
    </w:p>
    <w:p>
      <w:pPr>
        <w:pStyle w:val="766"/>
        <w:ind w:left="0" w:right="0" w:firstLine="11339"/>
        <w:jc w:val="left"/>
        <w:keepLines/>
        <w:keepNext/>
        <w:spacing w:before="320" w:beforeAutospacing="0" w:after="200" w:afterAutospacing="0" w:line="276" w:lineRule="auto"/>
        <w:widowControl/>
        <w:rPr>
          <w:rFonts w:ascii="Liberation Serif" w:hAnsi="Liberation Serif"/>
        </w:rPr>
      </w:pPr>
      <w:r>
        <w:rPr>
          <w:rFonts w:ascii="Liberation Serif" w:hAnsi="Liberation Serif"/>
          <w:b w:val="0"/>
          <w:bCs w:val="0"/>
          <w:sz w:val="24"/>
          <w:szCs w:val="24"/>
        </w:rPr>
        <w:t xml:space="preserve">Приложение 1 к Положению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right="17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об инсайдерской информации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right="907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ПАО «Саратовэнерго»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firstLine="0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Arial" w:cs="Times New Roman" w:eastAsiaTheme="majorEastAsia"/>
          <w:color w:val="000000"/>
          <w:sz w:val="28"/>
          <w:szCs w:val="28"/>
          <w:highlight w:val="none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8"/>
          <w:szCs w:val="28"/>
        </w:rPr>
      </w:r>
      <w:r>
        <w:rPr>
          <w:rFonts w:ascii="Liberation Serif" w:hAnsi="Liberation Serif" w:eastAsia="Arial" w:cs="Times New Roman" w:eastAsiaTheme="majorEastAsia"/>
          <w:color w:val="000000"/>
          <w:sz w:val="28"/>
          <w:szCs w:val="28"/>
          <w:highlight w:val="none"/>
        </w:rPr>
      </w:r>
      <w:r>
        <w:rPr>
          <w:rFonts w:ascii="Liberation Serif" w:hAnsi="Liberation Serif" w:eastAsia="Arial" w:cs="Times New Roman" w:eastAsiaTheme="majorEastAsia"/>
          <w:color w:val="000000"/>
          <w:sz w:val="28"/>
          <w:szCs w:val="28"/>
          <w:highlight w:val="none"/>
        </w:rPr>
      </w:r>
    </w:p>
    <w:p>
      <w:pPr>
        <w:pStyle w:val="762"/>
        <w:numPr>
          <w:ilvl w:val="0"/>
          <w:numId w:val="0"/>
        </w:numPr>
        <w:ind w:left="0" w:firstLine="0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 w:eastAsia="Arial" w:cs="Times New Roman" w:eastAsiaTheme="majorEastAsia"/>
          <w:color w:val="000000"/>
          <w:sz w:val="26"/>
          <w:szCs w:val="26"/>
          <w:highlight w:val="none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6"/>
          <w:szCs w:val="26"/>
        </w:rPr>
      </w:r>
      <w:r>
        <w:rPr>
          <w:rFonts w:ascii="Liberation Serif" w:hAnsi="Liberation Serif" w:eastAsia="Arial" w:cs="Times New Roman" w:eastAsiaTheme="majorEastAsia"/>
          <w:color w:val="000000"/>
          <w:sz w:val="26"/>
          <w:szCs w:val="26"/>
          <w:highlight w:val="none"/>
        </w:rPr>
      </w:r>
      <w:r>
        <w:rPr>
          <w:rFonts w:ascii="Liberation Serif" w:hAnsi="Liberation Serif" w:eastAsia="Arial" w:cs="Times New Roman" w:eastAsiaTheme="majorEastAsia"/>
          <w:color w:val="000000"/>
          <w:sz w:val="26"/>
          <w:szCs w:val="26"/>
          <w:highlight w:val="none"/>
        </w:rPr>
      </w:r>
    </w:p>
    <w:p>
      <w:pPr>
        <w:pStyle w:val="762"/>
        <w:numPr>
          <w:ilvl w:val="0"/>
          <w:numId w:val="0"/>
        </w:numPr>
        <w:ind w:left="709" w:firstLine="0"/>
        <w:jc w:val="center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b/>
          <w:color w:val="000000"/>
          <w:sz w:val="26"/>
          <w:szCs w:val="26"/>
        </w:rPr>
        <w:t xml:space="preserve">Форма для предоставления сведений об инсайдерах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4253"/>
        <w:spacing w:before="0" w:after="0" w:line="235" w:lineRule="exact"/>
        <w:shd w:val="clear" w:color="ffffff" w:themeColor="background1" w:fill="ffffff" w:themeFill="background1"/>
        <w:widowControl w:val="off"/>
        <w:rPr>
          <w:rFonts w:ascii="Liberation Serif" w:hAnsi="Liberation Serif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Liberation Serif" w:hAnsi="Liberation Serif" w:cs="Times New Roman"/>
          <w:b/>
          <w:bCs/>
          <w:color w:val="000000"/>
          <w:sz w:val="26"/>
          <w:szCs w:val="26"/>
        </w:rPr>
      </w:r>
      <w:r>
        <w:rPr>
          <w:rFonts w:ascii="Liberation Serif" w:hAnsi="Liberation Serif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Liberation Serif" w:hAnsi="Liberation Serif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762"/>
        <w:ind w:left="6066" w:right="0" w:firstLine="0"/>
        <w:jc w:val="left"/>
        <w:spacing w:before="0" w:after="0" w:line="235" w:lineRule="exact"/>
        <w:shd w:val="clear" w:color="ffffff" w:themeColor="background1" w:fill="ffffff" w:themeFill="background1"/>
        <w:widowControl w:val="off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bCs/>
          <w:color w:val="000000"/>
          <w:sz w:val="26"/>
          <w:szCs w:val="26"/>
        </w:rPr>
        <w:t xml:space="preserve">Физические лица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6584"/>
        <w:spacing w:before="0" w:after="0" w:line="235" w:lineRule="exact"/>
        <w:shd w:val="clear" w:color="ffffff" w:themeColor="background1" w:fill="ffffff" w:themeFill="background1"/>
        <w:widowControl w:val="off"/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Times New Roman"/>
          <w:b/>
          <w:bCs/>
          <w:color w:val="000000"/>
          <w:sz w:val="28"/>
          <w:szCs w:val="28"/>
        </w:rPr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W w:w="5000" w:type="pct"/>
        <w:jc w:val="center"/>
        <w:tblInd w:w="0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1282"/>
        <w:gridCol w:w="1369"/>
        <w:gridCol w:w="1505"/>
        <w:gridCol w:w="1427"/>
        <w:gridCol w:w="1088"/>
        <w:gridCol w:w="1148"/>
        <w:gridCol w:w="1147"/>
        <w:gridCol w:w="1540"/>
        <w:gridCol w:w="906"/>
        <w:gridCol w:w="1137"/>
        <w:gridCol w:w="727"/>
        <w:gridCol w:w="1293"/>
      </w:tblGrid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включения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включения</w:t>
            </w:r>
            <w:r>
              <w:rPr>
                <w:rStyle w:val="795"/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исключения</w:t>
            </w:r>
            <w:r>
              <w:rPr>
                <w:rStyle w:val="795"/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исключения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Фамилия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Имя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Отчество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рождения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Место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рождения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Адрес регистрации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(полный, с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указанием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индекса)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Адрес фактического проживания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(полный, с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указанием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индекса)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Серия 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номер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документа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Кем и когда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выдан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7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Style w:val="762"/>
              <w:jc w:val="center"/>
              <w:spacing w:before="0" w:after="0" w:line="240" w:lineRule="auto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Style w:val="762"/>
        <w:spacing w:before="0" w:after="0" w:line="240" w:lineRule="auto"/>
        <w:shd w:val="clear" w:color="ffffff" w:themeColor="background1" w:fill="ffffff" w:themeFill="background1"/>
        <w:rPr>
          <w:rFonts w:ascii="Liberation Serif" w:hAnsi="Liberation Serif" w:cs="Times New Roman"/>
          <w:sz w:val="28"/>
          <w:szCs w:val="28"/>
          <w:highlight w:val="none"/>
        </w:rPr>
      </w:pPr>
      <w:r>
        <w:rPr>
          <w:rFonts w:ascii="Liberation Serif" w:hAnsi="Liberation Serif" w:cs="Times New Roman"/>
          <w:sz w:val="28"/>
          <w:szCs w:val="28"/>
        </w:rPr>
      </w:r>
      <w:r>
        <w:rPr>
          <w:rFonts w:ascii="Liberation Serif" w:hAnsi="Liberation Serif" w:cs="Times New Roman"/>
          <w:sz w:val="28"/>
          <w:szCs w:val="28"/>
          <w:highlight w:val="none"/>
        </w:rPr>
      </w:r>
      <w:r>
        <w:rPr>
          <w:rFonts w:ascii="Liberation Serif" w:hAnsi="Liberation Serif" w:cs="Times New Roman"/>
          <w:sz w:val="28"/>
          <w:szCs w:val="28"/>
          <w:highlight w:val="none"/>
        </w:rPr>
      </w:r>
    </w:p>
    <w:p>
      <w:pPr>
        <w:pStyle w:val="762"/>
        <w:ind w:left="6066" w:right="0" w:firstLine="0"/>
        <w:jc w:val="left"/>
        <w:spacing w:before="0" w:after="0" w:line="277" w:lineRule="exact"/>
        <w:shd w:val="clear" w:color="ffffff" w:themeColor="background1" w:fill="ffffff" w:themeFill="background1"/>
        <w:widowControl w:val="off"/>
        <w:tabs>
          <w:tab w:val="clear" w:pos="708" w:leader="none"/>
          <w:tab w:val="left" w:pos="4253" w:leader="none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Times New Roman"/>
          <w:b/>
          <w:bCs/>
          <w:color w:val="000000"/>
          <w:sz w:val="26"/>
          <w:szCs w:val="26"/>
        </w:rPr>
        <w:t xml:space="preserve">Юридические лица</w:t>
      </w:r>
      <w:r>
        <w:rPr>
          <w:rFonts w:ascii="Liberation Serif" w:hAnsi="Liberation Serif"/>
          <w:sz w:val="26"/>
          <w:szCs w:val="26"/>
        </w:rPr>
      </w:r>
      <w:r>
        <w:rPr>
          <w:rFonts w:ascii="Liberation Serif" w:hAnsi="Liberation Serif"/>
          <w:sz w:val="26"/>
          <w:szCs w:val="26"/>
        </w:rPr>
      </w:r>
    </w:p>
    <w:p>
      <w:pPr>
        <w:pStyle w:val="762"/>
        <w:ind w:left="6243"/>
        <w:spacing w:before="0" w:after="0" w:line="277" w:lineRule="exact"/>
        <w:shd w:val="clear" w:color="ffffff" w:themeColor="background1" w:fill="ffffff" w:themeFill="background1"/>
        <w:widowControl w:val="off"/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Liberation Serif" w:hAnsi="Liberation Serif" w:cs="Times New Roman"/>
          <w:b/>
          <w:bCs/>
          <w:color w:val="000000"/>
          <w:sz w:val="28"/>
          <w:szCs w:val="28"/>
        </w:rPr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Liberation Serif" w:hAnsi="Liberation Serif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W w:w="5000" w:type="pct"/>
        <w:tblInd w:w="0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1682"/>
        <w:gridCol w:w="2017"/>
        <w:gridCol w:w="1824"/>
        <w:gridCol w:w="1821"/>
        <w:gridCol w:w="3029"/>
        <w:gridCol w:w="1247"/>
        <w:gridCol w:w="1316"/>
        <w:gridCol w:w="1632"/>
      </w:tblGrid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textDirection w:val="lrTb"/>
            <w:noWrap w:val="false"/>
          </w:tcPr>
          <w:p>
            <w:pPr>
              <w:pStyle w:val="762"/>
              <w:ind w:left="463"/>
              <w:spacing w:before="0" w:after="0" w:line="318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107"/>
              <w:spacing w:before="0" w:after="0" w:line="27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включения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pStyle w:val="762"/>
              <w:ind w:left="400"/>
              <w:spacing w:before="0" w:after="0" w:line="318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376"/>
              <w:spacing w:before="0" w:after="0" w:line="27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включения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pStyle w:val="762"/>
              <w:ind w:left="520"/>
              <w:spacing w:before="0" w:after="0" w:line="318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Дата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107"/>
              <w:spacing w:before="0" w:after="0" w:line="27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исключения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dxa"/>
            <w:textDirection w:val="lrTb"/>
            <w:noWrap w:val="false"/>
          </w:tcPr>
          <w:p>
            <w:pPr>
              <w:pStyle w:val="762"/>
              <w:ind w:left="187"/>
              <w:spacing w:before="0" w:after="0" w:line="318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105"/>
              <w:spacing w:before="0" w:after="0" w:line="27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исключения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pPr>
              <w:pStyle w:val="762"/>
              <w:ind w:left="343"/>
              <w:spacing w:before="0" w:after="0" w:line="318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Полное фирменное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602"/>
              <w:spacing w:before="0" w:after="0" w:line="27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62"/>
              <w:ind w:left="42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ИНН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762"/>
              <w:ind w:left="372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ОГРН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Адрес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1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9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2" w:type="dxa"/>
            <w:textDirection w:val="lrTb"/>
            <w:noWrap w:val="false"/>
          </w:tcPr>
          <w:p>
            <w:pPr>
              <w:pStyle w:val="762"/>
              <w:ind w:left="669"/>
              <w:spacing w:before="0" w:after="0" w:line="455" w:lineRule="exact"/>
              <w:shd w:val="clear" w:color="ffffff" w:themeColor="background1" w:fill="ffffff" w:themeFill="background1"/>
              <w:widowControl w:val="off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sectPr>
          <w:footerReference w:type="default" r:id="rId11"/>
          <w:footerReference w:type="first" r:id="rId12"/>
          <w:footnotePr>
            <w:numFmt w:val="decimal"/>
          </w:footnotePr>
          <w:endnotePr/>
          <w:type w:val="nextPage"/>
          <w:pgSz w:w="16838" w:h="11906" w:orient="landscape"/>
          <w:pgMar w:top="1134" w:right="1134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Приложение 2 к Положению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об инсайдерской информации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ПАО «Саратовэнерго»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0" w:right="0" w:firstLine="0"/>
        <w:jc w:val="center"/>
        <w:spacing w:before="170" w:beforeAutospacing="0" w:after="170" w:afterAutospacing="0" w:line="57" w:lineRule="atLeast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t xml:space="preserve">УВЕДОМЛЕНИЕ</w:t>
      </w: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br w:type="textWrapping" w:clear="all"/>
      </w: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t xml:space="preserve"> о включении лица в список инсайдеров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9354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3"/>
        <w:gridCol w:w="4098"/>
        <w:gridCol w:w="479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об уведомлении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1.1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Порядковый номер и дата составления уведомления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в отношении уведомляющего лица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Полное фирменное наименование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ИНН Организации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ОГРН Организации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2.4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Место нахождения и (или) адрес для направления почтовой корреспонденции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2.5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Адрес сайта в информационно-телекоммуникационной сети "Интернет" (при наличии)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2.6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Номер контактного телефона и (или) адрес электронной почты для обращений инсайдеров (лиц, исключенных из списка)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2.7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Номер пункта статьи 4 Федерального закона от 27 июля 2010 года N 224-ФЗ, относящий уведомляющее лицо к инсайдерам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в отношении инсайдера (лица, исключенного из списка)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Фамилия, имя, отчество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Дата рождения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Место рождения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3.4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Должность, которую инсайдер (лицо, исключенное из списка) занимает в уведомляющем лице (при наличии)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3.5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Информация о включении инсайдера в список (исключении лица, исключенного из списка, из списка) и дате такого включения (исключения)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3.6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Основание для включения инсайдера в список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3.7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Финансовый инструмент, иностранная валюта и (или) товар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</w:tbl>
    <w:p>
      <w:pPr>
        <w:pStyle w:val="762"/>
        <w:ind w:left="0" w:right="0" w:firstLine="720"/>
        <w:jc w:val="both"/>
        <w:spacing w:before="238" w:after="482" w:line="57" w:lineRule="atLeast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color w:val="000000"/>
          <w:sz w:val="18"/>
        </w:rPr>
        <w:t xml:space="preserve">Обращаем Ваше внимание, что с момента внесения лица в список инсайдеров Организации в отношении дан</w:t>
      </w:r>
      <w:r>
        <w:rPr>
          <w:rFonts w:ascii="Liberation Serif" w:hAnsi="Liberation Serif" w:eastAsia="Times New Roman" w:cs="Times New Roman"/>
          <w:color w:val="000000"/>
          <w:sz w:val="18"/>
        </w:rPr>
        <w:t xml:space="preserve">ного лица, как инсайдера, вводятся ограничения, предусмотренные статьей 6 Федерального закона от 27 июля 2010 г. № 224-ФЗ. «О противодействии неправомерному использованию инсайдерской информации и манипулированию рынком и о внесении изменений в отдельные з</w:t>
      </w:r>
      <w:r>
        <w:rPr>
          <w:rFonts w:ascii="Liberation Serif" w:hAnsi="Liberation Serif" w:eastAsia="Times New Roman" w:cs="Times New Roman"/>
          <w:color w:val="000000"/>
          <w:sz w:val="18"/>
        </w:rPr>
        <w:t xml:space="preserve">аконодательные акты Российской федерации» (далее – Федеральный закон), определена ответственность в соответствии со статьей 7 Федерального закона, и на такое лицо возлагаются обязанности, предусмотренные статьей 10 и частью 4 статьи 11 Федерального закона.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9354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95"/>
        <w:gridCol w:w="29"/>
        <w:gridCol w:w="1839"/>
        <w:gridCol w:w="4591"/>
      </w:tblGrid>
      <w:tr>
        <w:tblPrEx/>
        <w:trPr/>
        <w:tc>
          <w:tcPr>
            <w:gridSpan w:val="2"/>
            <w:tcBorders>
              <w:top w:val="single" w:color="000000" w:sz="6" w:space="0"/>
            </w:tcBorders>
            <w:tcW w:w="2924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(инициалы, фамилия)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</w:tcBorders>
            <w:tcW w:w="6430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6" w:space="0"/>
            </w:tcBorders>
            <w:tcW w:w="2924" w:type="dxa"/>
            <w:vAlign w:val="bottom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Borders>
              <w:bottom w:val="single" w:color="000000" w:sz="6" w:space="0"/>
            </w:tcBorders>
            <w:tcW w:w="4591" w:type="dxa"/>
            <w:vAlign w:val="bottom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Руководитель направления по корпоративной работе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</w:tcBorders>
            <w:tcW w:w="2924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(подпись)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1839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</w:tcBorders>
            <w:tcW w:w="4591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(наименование должности, дата подписи)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2895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Уведомление получено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(подпись, инициалы сотрудника)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3"/>
            <w:tcW w:w="6459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Times New Roman" w:cs="Times New Roman"/>
                <w:sz w:val="24"/>
                <w:highlight w:val="none"/>
              </w:rPr>
            </w:pPr>
            <w:r>
              <w:rPr>
                <w:rFonts w:ascii="Liberation Serif" w:hAnsi="Liberation Serif" w:eastAsia="Times New Roman" w:cs="Times New Roman"/>
                <w:sz w:val="24"/>
              </w:rPr>
            </w:r>
            <w:r>
              <w:rPr>
                <w:rFonts w:ascii="Liberation Serif" w:hAnsi="Liberation Serif" w:eastAsia="Times New Roman" w:cs="Times New Roman"/>
                <w:sz w:val="24"/>
                <w:highlight w:val="none"/>
              </w:rPr>
            </w:r>
            <w:r>
              <w:rPr>
                <w:rFonts w:ascii="Liberation Serif" w:hAnsi="Liberation Serif" w:eastAsia="Times New Roman" w:cs="Times New Roman"/>
                <w:sz w:val="24"/>
                <w:highlight w:val="none"/>
              </w:rPr>
            </w:r>
          </w:p>
        </w:tc>
      </w:tr>
    </w:tbl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br w:type="page" w:clear="all"/>
      </w: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Приложение 3 к Положению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об инсайдерской информации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numPr>
          <w:ilvl w:val="0"/>
          <w:numId w:val="0"/>
        </w:numPr>
        <w:ind w:left="0" w:firstLine="0"/>
        <w:jc w:val="right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Liberation Serif" w:hAnsi="Liberation Serif"/>
        </w:rPr>
        <w:outlineLvl w:val="4"/>
      </w:pPr>
      <w:r>
        <w:rPr>
          <w:rFonts w:ascii="Liberation Serif" w:hAnsi="Liberation Serif" w:eastAsia="Arial" w:cs="Times New Roman" w:eastAsiaTheme="majorEastAsia"/>
          <w:color w:val="000000"/>
          <w:sz w:val="24"/>
          <w:szCs w:val="24"/>
        </w:rPr>
        <w:t xml:space="preserve">ПАО «Саратовэнерго»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0" w:right="0" w:firstLine="0"/>
        <w:jc w:val="center"/>
        <w:spacing w:before="0" w:beforeAutospacing="0" w:after="113" w:afterAutospacing="0" w:line="57" w:lineRule="atLeast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t xml:space="preserve">УВЕДОМЛЕНИЕ</w:t>
      </w: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br w:type="textWrapping" w:clear="all"/>
      </w:r>
      <w:r>
        <w:rPr>
          <w:rFonts w:ascii="Liberation Serif" w:hAnsi="Liberation Serif" w:eastAsia="Times New Roman" w:cs="Times New Roman"/>
          <w:b/>
          <w:color w:val="000000"/>
          <w:sz w:val="22"/>
          <w:szCs w:val="22"/>
        </w:rPr>
        <w:t xml:space="preserve"> об исключении лица из списка инсайдеров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tbl>
      <w:tblPr>
        <w:tblW w:w="9354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3"/>
        <w:gridCol w:w="4098"/>
        <w:gridCol w:w="479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об уведомлении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1.1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Порядковый номер и дата составления уведомления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в отношении уведомляющего лица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Полное фирменное наименование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ИНН Организации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ОГРН Организации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2.4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Место нахождения и (или) адрес для направления почтовой корреспонденции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2.5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Адрес сайта в информационно-телекоммуникационной сети "Интернет" (при наличии)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2.6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Номер контактного телефона и (или) адрес электронной почты для обращений инсайдеров (лиц, исключенных из списка)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2.7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Номер пункта статьи 4 Федерального закона от 27 июля 2010 года N 224-ФЗ, относящий уведомляющее лицо к инсайдерам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vAlign w:val="center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91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center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b/>
                <w:color w:val="000000"/>
                <w:sz w:val="18"/>
                <w:szCs w:val="22"/>
                <w:lang w:val="ru-RU" w:eastAsia="en-US" w:bidi="ar-SA"/>
              </w:rPr>
              <w:t xml:space="preserve">Сведения в отношении инсайдера (лица, исключенного из списка)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3.1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Фамилия, имя, отчество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3.2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Дата рождения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3.3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Место рождения инсайдера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3.4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Должность, которую инсайдер (лицо, исключенное из списка) занимает в уведомляющем лице (при наличии)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3.5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Информация о включении инсайдера в список (исключении лица, исключенного из списка, из списка) и дате такого включения (исключения)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3.6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18"/>
                <w:szCs w:val="22"/>
                <w:lang w:val="ru-RU" w:eastAsia="en-US" w:bidi="ar-SA"/>
              </w:rPr>
              <w:t xml:space="preserve">Основание для включения инсайдера в список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5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3.7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Основание, в силу которого инсайдер (лицо, исключенное из списка) перестал соответствовать положениям </w:t>
            </w:r>
            <w:hyperlink r:id="rId17" w:tooltip="consultantplus://offline/ref=2B70F4A297CDB716C9D486DADE54556F0D870A47E7BA8A028837B60814A38A57864AA2FEA1D3B73BB064938559F65D3BA7A94488F43CCFFBR0IBO" w:history="1">
              <w:r>
                <w:rPr>
                  <w:rStyle w:val="798"/>
                  <w:rFonts w:ascii="Liberation Serif" w:hAnsi="Liberation Serif" w:eastAsia="Times New Roman" w:cs="Times New Roman"/>
                  <w:color w:val="000000"/>
                  <w:sz w:val="18"/>
                  <w:szCs w:val="22"/>
                  <w:u w:val="single"/>
                  <w:lang w:val="ru-RU" w:eastAsia="en-US" w:bidi="ar-SA"/>
                </w:rPr>
                <w:t xml:space="preserve">статьи 4</w:t>
              </w:r>
            </w:hyperlink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Федерального закона от 27 июля 2010 года N 224-ФЗ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3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3.8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8" w:type="dxa"/>
            <w:textDirection w:val="lrTb"/>
            <w:noWrap w:val="false"/>
          </w:tcPr>
          <w:p>
            <w:pPr>
              <w:pStyle w:val="762"/>
              <w:ind w:left="57" w:right="0" w:firstLine="0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 w:themeColor="text1"/>
                <w:sz w:val="18"/>
                <w:szCs w:val="22"/>
                <w:lang w:val="ru-RU" w:eastAsia="en-US" w:bidi="ar-SA"/>
              </w:rPr>
              <w:t xml:space="preserve">Финансовый инструмент, иностранная валюта и (или) товар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93" w:type="dxa"/>
            <w:textDirection w:val="lrTb"/>
            <w:noWrap w:val="false"/>
          </w:tcPr>
          <w:p>
            <w:pPr>
              <w:pStyle w:val="762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</w:tbl>
    <w:p>
      <w:pPr>
        <w:pStyle w:val="762"/>
        <w:ind w:left="0" w:right="0" w:firstLine="720"/>
        <w:jc w:val="both"/>
        <w:spacing w:before="113" w:beforeAutospacing="0" w:after="0" w:line="57" w:lineRule="atLeast"/>
        <w:shd w:val="clear" w:color="ffffff" w:themeColor="background1" w:fill="ffffff" w:themeFill="background1"/>
        <w:rPr>
          <w:rFonts w:ascii="Liberation Serif" w:hAnsi="Liberation Serif"/>
        </w:rPr>
      </w:pPr>
      <w:r>
        <w:rPr>
          <w:rFonts w:ascii="Liberation Serif" w:hAnsi="Liberation Serif" w:eastAsia="Times New Roman" w:cs="Times New Roman"/>
          <w:color w:val="000000"/>
          <w:sz w:val="18"/>
        </w:rPr>
        <w:t xml:space="preserve">Обращаем Ваше внимание, что с момента внесения лица в спис</w:t>
      </w:r>
      <w:r>
        <w:rPr>
          <w:rFonts w:ascii="Liberation Serif" w:hAnsi="Liberation Serif" w:eastAsia="Times New Roman" w:cs="Times New Roman"/>
          <w:color w:val="000000"/>
          <w:sz w:val="18"/>
        </w:rPr>
        <w:t xml:space="preserve">ок инсайдеров Организации в отношении данного лица, как инсайдера, вводятся ограничения, предусмотренные статьей 6 Федерального закона от 27 июля 2010 г. № 224-ФЗ. «О противодействии неправомерному использованию инсайдерской информации и манипулированию ры</w:t>
      </w:r>
      <w:r>
        <w:rPr>
          <w:rFonts w:ascii="Liberation Serif" w:hAnsi="Liberation Serif" w:eastAsia="Times New Roman" w:cs="Times New Roman"/>
          <w:color w:val="000000"/>
          <w:sz w:val="18"/>
        </w:rPr>
        <w:t xml:space="preserve">нком и о внесении изменений в отдельные законодательные акты Российской федерации» (далее – Федеральный закон), определена ответственность в соответствии со статьей 7 Федерального закона, и на такое лицо возлагаются обязанности, предусмотренные статьей 10.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762"/>
        <w:ind w:left="0" w:right="0" w:firstLine="720"/>
        <w:jc w:val="both"/>
        <w:spacing w:before="113" w:beforeAutospacing="0" w:after="0" w:line="57" w:lineRule="atLeast"/>
        <w:shd w:val="clear" w:color="ffffff" w:themeColor="background1" w:fill="ffffff" w:themeFill="background1"/>
        <w:rPr>
          <w:rFonts w:ascii="Liberation Serif" w:hAnsi="Liberation Serif" w:eastAsia="Times New Roman" w:cs="Times New Roman"/>
          <w:color w:val="000000"/>
          <w:sz w:val="18"/>
          <w:highlight w:val="none"/>
        </w:rPr>
      </w:pPr>
      <w:r>
        <w:rPr>
          <w:rFonts w:ascii="Liberation Serif" w:hAnsi="Liberation Serif" w:eastAsia="Times New Roman" w:cs="Times New Roman"/>
          <w:color w:val="000000"/>
          <w:sz w:val="18"/>
        </w:rPr>
      </w:r>
      <w:r>
        <w:rPr>
          <w:rFonts w:ascii="Liberation Serif" w:hAnsi="Liberation Serif" w:eastAsia="Times New Roman" w:cs="Times New Roman"/>
          <w:color w:val="000000"/>
          <w:sz w:val="18"/>
          <w:highlight w:val="none"/>
        </w:rPr>
      </w:r>
      <w:r>
        <w:rPr>
          <w:rFonts w:ascii="Liberation Serif" w:hAnsi="Liberation Serif" w:eastAsia="Times New Roman" w:cs="Times New Roman"/>
          <w:color w:val="000000"/>
          <w:sz w:val="18"/>
          <w:highlight w:val="none"/>
        </w:rPr>
      </w:r>
    </w:p>
    <w:tbl>
      <w:tblPr>
        <w:tblW w:w="9354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95"/>
        <w:gridCol w:w="55"/>
        <w:gridCol w:w="1828"/>
        <w:gridCol w:w="4576"/>
      </w:tblGrid>
      <w:tr>
        <w:tblPrEx/>
        <w:trPr/>
        <w:tc>
          <w:tcPr>
            <w:gridSpan w:val="4"/>
            <w:tcBorders>
              <w:bottom w:val="single" w:color="000000" w:sz="6" w:space="0"/>
            </w:tcBorders>
            <w:tcW w:w="9354" w:type="dxa"/>
            <w:vAlign w:val="bottom"/>
            <w:textDirection w:val="lrTb"/>
            <w:noWrap w:val="false"/>
          </w:tcPr>
          <w:p>
            <w:pPr>
              <w:pStyle w:val="762"/>
              <w:jc w:val="left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6" w:space="0"/>
            </w:tcBorders>
            <w:tcW w:w="9354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                </w:t>
            </w: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(инициалы, фамилия)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6" w:space="0"/>
            </w:tcBorders>
            <w:tcW w:w="2950" w:type="dxa"/>
            <w:vAlign w:val="bottom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Borders>
              <w:bottom w:val="single" w:color="000000" w:sz="6" w:space="0"/>
            </w:tcBorders>
            <w:tcW w:w="4576" w:type="dxa"/>
            <w:vAlign w:val="bottom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Руководитель направления по корпоративной работе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</w:tcBorders>
            <w:tcW w:w="2950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(подпись)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</w:tcBorders>
            <w:tcW w:w="4576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(наименование должности, дата подписи)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</w:tcBorders>
            <w:tcW w:w="2895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Уведомление получено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  <w:p>
            <w:pPr>
              <w:pStyle w:val="762"/>
              <w:ind w:left="0" w:right="0" w:firstLine="0"/>
              <w:jc w:val="center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 w:eastAsia="Times New Roman" w:cs="Times New Roman"/>
                <w:color w:val="000000"/>
                <w:sz w:val="18"/>
                <w:szCs w:val="22"/>
                <w:lang w:val="ru-RU" w:eastAsia="en-US" w:bidi="ar-SA"/>
              </w:rPr>
              <w:t xml:space="preserve">(подпись, инициалы сотрудника)</w:t>
            </w:r>
            <w:r>
              <w:rPr>
                <w:rFonts w:ascii="Liberation Serif" w:hAnsi="Liberation Serif"/>
              </w:rPr>
            </w:r>
            <w:r>
              <w:rPr>
                <w:rFonts w:ascii="Liberation Serif" w:hAnsi="Liberation Serif"/>
              </w:rPr>
            </w:r>
          </w:p>
        </w:tc>
        <w:tc>
          <w:tcPr>
            <w:gridSpan w:val="3"/>
            <w:tcW w:w="6459" w:type="dxa"/>
            <w:textDirection w:val="lrTb"/>
            <w:noWrap w:val="false"/>
          </w:tcPr>
          <w:p>
            <w:pPr>
              <w:pStyle w:val="762"/>
              <w:ind w:left="0" w:right="0" w:firstLine="0"/>
              <w:jc w:val="left"/>
              <w:spacing w:before="0" w:after="0" w:line="276" w:lineRule="atLeast"/>
              <w:shd w:val="clear" w:color="ffffff" w:themeColor="background1" w:fill="ffffff" w:themeFill="background1"/>
              <w:widowControl/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Arial" w:cs="Arial"/>
                <w:sz w:val="22"/>
                <w:szCs w:val="22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Arial" w:cs="Arial"/>
                <w:sz w:val="22"/>
                <w:szCs w:val="22"/>
                <w:highlight w:val="none"/>
              </w:rPr>
            </w:r>
          </w:p>
        </w:tc>
      </w:tr>
    </w:tbl>
    <w:p>
      <w:pPr>
        <w:pStyle w:val="762"/>
        <w:contextualSpacing/>
        <w:ind w:left="0" w:right="0" w:firstLine="5669"/>
        <w:jc w:val="left"/>
        <w:spacing w:before="0" w:after="0" w:afterAutospacing="0"/>
        <w:shd w:val="clear" w:color="ffffff" w:themeColor="background1" w:fill="ffffff" w:themeFill="background1"/>
        <w:rPr>
          <w:rFonts w:ascii="Liberation Serif" w:hAnsi="Liberation Serif" w:cs="Liberation Serif"/>
          <w:sz w:val="22"/>
          <w:szCs w:val="22"/>
          <w:highlight w:val="none"/>
        </w:rPr>
      </w:pP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  <w:highlight w:val="none"/>
        </w:rPr>
      </w:r>
      <w:r>
        <w:rPr>
          <w:rFonts w:ascii="Liberation Serif" w:hAnsi="Liberation Serif" w:cs="Liberation Serif"/>
          <w:sz w:val="22"/>
          <w:szCs w:val="22"/>
          <w:highlight w:val="none"/>
        </w:rPr>
      </w:r>
    </w:p>
    <w:p>
      <w:pPr>
        <w:pStyle w:val="762"/>
        <w:contextualSpacing/>
        <w:ind w:left="0" w:right="0" w:firstLine="5669"/>
        <w:jc w:val="left"/>
        <w:spacing w:before="0" w:after="0" w:afterAutospacing="0"/>
        <w:shd w:val="clear" w:color="ffffff" w:themeColor="background1" w:fill="ffffff" w:themeFill="background1"/>
        <w:rPr>
          <w:rFonts w:ascii="Liberation Serif" w:hAnsi="Liberation Serif" w:cs="Liberation Serif"/>
          <w:sz w:val="22"/>
          <w:szCs w:val="22"/>
          <w:highlight w:val="none"/>
        </w:rPr>
      </w:pP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  <w:highlight w:val="none"/>
        </w:rPr>
      </w:r>
      <w:r>
        <w:rPr>
          <w:rFonts w:ascii="Liberation Serif" w:hAnsi="Liberation Serif" w:cs="Liberation Serif"/>
          <w:sz w:val="22"/>
          <w:szCs w:val="22"/>
          <w:highlight w:val="none"/>
        </w:rPr>
      </w:r>
    </w:p>
    <w:sectPr>
      <w:headerReference w:type="default" r:id="rId9"/>
      <w:footerReference w:type="default" r:id="rId13"/>
      <w:footerReference w:type="first" r:id="rId14"/>
      <w:footnotePr>
        <w:numFmt w:val="decimal"/>
      </w:footnotePr>
      <w:endnotePr/>
      <w:type w:val="nextPage"/>
      <w:pgSz w:w="11906" w:h="16838" w:orient="portrait"/>
      <w:pgMar w:top="1151" w:right="709" w:bottom="1151" w:left="1134" w:header="1020" w:footer="10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Noto Sans Devanagari">
    <w:panose1 w:val="020B0502040504020204"/>
  </w:font>
  <w:font w:name="MS Mincho">
    <w:panose1 w:val="0202060606050509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left"/>
      <w:spacing w:before="0" w:beforeAutospacing="0" w:after="200" w:afterAutospacing="0" w:line="276" w:lineRule="auto"/>
      <w:widowControl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17</w:t>
    </w:r>
    <w:r>
      <w:fldChar w:fldCharType="end"/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762"/>
        <w:spacing w:before="0" w:after="200"/>
        <w:widowControl w:val="off"/>
        <w:rPr>
          <w:rFonts w:ascii="Times New Roman" w:hAnsi="Times New Roman" w:cs="Times New Roman"/>
        </w:rPr>
      </w:pPr>
      <w:r>
        <w:rPr>
          <w:rStyle w:val="794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номер пункта статьи 4 Закона, а также основание включения в список инсайдеров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762"/>
        <w:jc w:val="left"/>
        <w:spacing w:before="0" w:beforeAutospacing="0" w:after="200" w:afterAutospacing="0" w:line="276" w:lineRule="auto"/>
        <w:widowControl/>
      </w:pPr>
      <w:r>
        <w:rPr>
          <w:rStyle w:val="794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Указывается номер пункта статьи 4 Закона, а также основание исключения из списка инсайдеров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  <w:tabs>
          <w:tab w:val="num" w:pos="0" w:leader="none"/>
        </w:tabs>
      </w:pPr>
      <w:rPr>
        <w:rFonts w:hint="default" w:ascii="Times New Roman" w:hAnsi="Times New Roman" w:cs="Times New Roman"/>
        <w:b w:val="0"/>
        <w:i w:val="0"/>
        <w:strike w:val="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63">
    <w:name w:val="Heading 1"/>
    <w:basedOn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4">
    <w:name w:val="Heading 2"/>
    <w:basedOn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1 Char"/>
    <w:basedOn w:val="792"/>
    <w:uiPriority w:val="9"/>
    <w:qFormat/>
    <w:rPr>
      <w:rFonts w:ascii="Arial" w:hAnsi="Arial" w:eastAsia="Arial" w:cs="Arial"/>
      <w:sz w:val="40"/>
      <w:szCs w:val="40"/>
    </w:rPr>
  </w:style>
  <w:style w:type="character" w:styleId="773">
    <w:name w:val="Heading 2 Char"/>
    <w:basedOn w:val="792"/>
    <w:uiPriority w:val="9"/>
    <w:qFormat/>
    <w:rPr>
      <w:rFonts w:ascii="Arial" w:hAnsi="Arial" w:eastAsia="Arial" w:cs="Arial"/>
      <w:sz w:val="34"/>
    </w:rPr>
  </w:style>
  <w:style w:type="character" w:styleId="774">
    <w:name w:val="Heading 3 Char"/>
    <w:basedOn w:val="792"/>
    <w:uiPriority w:val="9"/>
    <w:qFormat/>
    <w:rPr>
      <w:rFonts w:ascii="Arial" w:hAnsi="Arial" w:eastAsia="Arial" w:cs="Arial"/>
      <w:sz w:val="30"/>
      <w:szCs w:val="30"/>
    </w:rPr>
  </w:style>
  <w:style w:type="character" w:styleId="775">
    <w:name w:val="Heading 4 Char"/>
    <w:basedOn w:val="79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6">
    <w:name w:val="Heading 5 Char"/>
    <w:basedOn w:val="79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7">
    <w:name w:val="Heading 6 Char"/>
    <w:basedOn w:val="79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8">
    <w:name w:val="Heading 7 Char"/>
    <w:basedOn w:val="7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9">
    <w:name w:val="Heading 8 Char"/>
    <w:basedOn w:val="79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0">
    <w:name w:val="Heading 9 Char"/>
    <w:basedOn w:val="79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Title Char"/>
    <w:basedOn w:val="792"/>
    <w:uiPriority w:val="10"/>
    <w:qFormat/>
    <w:rPr>
      <w:sz w:val="48"/>
      <w:szCs w:val="48"/>
    </w:rPr>
  </w:style>
  <w:style w:type="character" w:styleId="782">
    <w:name w:val="Subtitle Char"/>
    <w:basedOn w:val="792"/>
    <w:uiPriority w:val="11"/>
    <w:qFormat/>
    <w:rPr>
      <w:sz w:val="24"/>
      <w:szCs w:val="24"/>
    </w:rPr>
  </w:style>
  <w:style w:type="character" w:styleId="783">
    <w:name w:val="Quote Char"/>
    <w:uiPriority w:val="29"/>
    <w:qFormat/>
    <w:rPr>
      <w:i/>
    </w:rPr>
  </w:style>
  <w:style w:type="character" w:styleId="784">
    <w:name w:val="Intense Quote Char"/>
    <w:uiPriority w:val="30"/>
    <w:qFormat/>
    <w:rPr>
      <w:i/>
    </w:rPr>
  </w:style>
  <w:style w:type="character" w:styleId="785">
    <w:name w:val="Header Char"/>
    <w:basedOn w:val="792"/>
    <w:uiPriority w:val="99"/>
    <w:qFormat/>
  </w:style>
  <w:style w:type="character" w:styleId="786">
    <w:name w:val="Footer Char"/>
    <w:basedOn w:val="792"/>
    <w:uiPriority w:val="99"/>
    <w:qFormat/>
  </w:style>
  <w:style w:type="character" w:styleId="787">
    <w:name w:val="Caption Char"/>
    <w:uiPriority w:val="99"/>
    <w:qFormat/>
  </w:style>
  <w:style w:type="character" w:styleId="788">
    <w:name w:val="Footnote Text Char"/>
    <w:uiPriority w:val="99"/>
    <w:qFormat/>
    <w:rPr>
      <w:sz w:val="18"/>
    </w:rPr>
  </w:style>
  <w:style w:type="character" w:styleId="789">
    <w:name w:val="Endnote Text Char"/>
    <w:uiPriority w:val="99"/>
    <w:qFormat/>
    <w:rPr>
      <w:sz w:val="20"/>
    </w:rPr>
  </w:style>
  <w:style w:type="character" w:styleId="7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1">
    <w:name w:val="endnote reference"/>
    <w:rPr>
      <w:vertAlign w:val="superscript"/>
    </w:rPr>
  </w:style>
  <w:style w:type="character" w:styleId="792" w:default="1">
    <w:name w:val="Default Paragraph Font"/>
    <w:uiPriority w:val="1"/>
    <w:semiHidden/>
    <w:unhideWhenUsed/>
    <w:qFormat/>
  </w:style>
  <w:style w:type="character" w:styleId="793" w:customStyle="1">
    <w:name w:val="Верхний колонтитул Знак"/>
    <w:basedOn w:val="792"/>
    <w:uiPriority w:val="99"/>
    <w:qFormat/>
  </w:style>
  <w:style w:type="character" w:styleId="794">
    <w:name w:val="Символ сноски"/>
    <w:uiPriority w:val="99"/>
    <w:semiHidden/>
    <w:unhideWhenUsed/>
    <w:qFormat/>
    <w:rPr>
      <w:vertAlign w:val="superscript"/>
    </w:rPr>
  </w:style>
  <w:style w:type="character" w:styleId="795">
    <w:name w:val="footnote reference"/>
    <w:rPr>
      <w:vertAlign w:val="superscript"/>
    </w:rPr>
  </w:style>
  <w:style w:type="character" w:styleId="796" w:customStyle="1">
    <w:name w:val="Нижний колонтитул Знак"/>
    <w:basedOn w:val="792"/>
    <w:uiPriority w:val="99"/>
    <w:qFormat/>
  </w:style>
  <w:style w:type="character" w:styleId="797" w:customStyle="1">
    <w:name w:val="Текст выноски Знак"/>
    <w:basedOn w:val="792"/>
    <w:uiPriority w:val="99"/>
    <w:semiHidden/>
    <w:qFormat/>
    <w:rPr>
      <w:rFonts w:ascii="Tahoma" w:hAnsi="Tahoma" w:cs="Tahoma"/>
      <w:sz w:val="16"/>
      <w:szCs w:val="16"/>
    </w:rPr>
  </w:style>
  <w:style w:type="character" w:styleId="798">
    <w:name w:val="Hyperlink"/>
    <w:basedOn w:val="792"/>
    <w:uiPriority w:val="99"/>
    <w:unhideWhenUsed/>
    <w:rPr>
      <w:color w:val="0000ff" w:themeColor="hyperlink"/>
      <w:u w:val="single"/>
    </w:rPr>
  </w:style>
  <w:style w:type="character" w:styleId="799">
    <w:name w:val="Ссылка указателя"/>
    <w:qFormat/>
  </w:style>
  <w:style w:type="character" w:styleId="800">
    <w:name w:val="Символ нумерации"/>
    <w:qFormat/>
  </w:style>
  <w:style w:type="paragraph" w:styleId="801">
    <w:name w:val="Заголовок"/>
    <w:basedOn w:val="762"/>
    <w:next w:val="80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02">
    <w:name w:val="Body Text"/>
    <w:basedOn w:val="762"/>
    <w:pPr>
      <w:spacing w:before="0" w:after="140" w:line="276" w:lineRule="auto"/>
    </w:pPr>
  </w:style>
  <w:style w:type="paragraph" w:styleId="803">
    <w:name w:val="List"/>
    <w:basedOn w:val="802"/>
    <w:rPr>
      <w:rFonts w:ascii="PT Astra Serif" w:hAnsi="PT Astra Serif" w:cs="Noto Sans Devanagari"/>
    </w:rPr>
  </w:style>
  <w:style w:type="paragraph" w:styleId="804">
    <w:name w:val="Caption"/>
    <w:basedOn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05">
    <w:name w:val="Указатель"/>
    <w:basedOn w:val="762"/>
    <w:qFormat/>
    <w:pPr>
      <w:suppressLineNumbers/>
    </w:pPr>
    <w:rPr>
      <w:rFonts w:ascii="PT Astra Serif" w:hAnsi="PT Astra Serif" w:cs="Noto Sans Devanagari"/>
    </w:rPr>
  </w:style>
  <w:style w:type="paragraph" w:styleId="80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7">
    <w:name w:val="Title"/>
    <w:basedOn w:val="76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8">
    <w:name w:val="Subtitle"/>
    <w:basedOn w:val="762"/>
    <w:uiPriority w:val="11"/>
    <w:qFormat/>
    <w:pPr>
      <w:spacing w:before="200" w:after="200"/>
    </w:pPr>
    <w:rPr>
      <w:sz w:val="24"/>
      <w:szCs w:val="24"/>
    </w:rPr>
  </w:style>
  <w:style w:type="paragraph" w:styleId="809">
    <w:name w:val="Quote"/>
    <w:basedOn w:val="762"/>
    <w:uiPriority w:val="29"/>
    <w:qFormat/>
    <w:pPr>
      <w:ind w:left="720" w:right="720"/>
    </w:pPr>
    <w:rPr>
      <w:i/>
    </w:rPr>
  </w:style>
  <w:style w:type="paragraph" w:styleId="810">
    <w:name w:val="Intense Quote"/>
    <w:basedOn w:val="762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1">
    <w:name w:val="footnote text"/>
    <w:basedOn w:val="76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2">
    <w:name w:val="endnote text"/>
    <w:basedOn w:val="76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3">
    <w:name w:val="toc 1"/>
    <w:basedOn w:val="762"/>
    <w:uiPriority w:val="39"/>
    <w:unhideWhenUsed/>
    <w:pPr>
      <w:ind w:left="0" w:right="0" w:firstLine="0"/>
      <w:spacing w:before="0" w:after="57"/>
    </w:pPr>
  </w:style>
  <w:style w:type="paragraph" w:styleId="814">
    <w:name w:val="toc 2"/>
    <w:basedOn w:val="762"/>
    <w:uiPriority w:val="39"/>
    <w:unhideWhenUsed/>
    <w:pPr>
      <w:ind w:left="283" w:right="0" w:firstLine="0"/>
      <w:spacing w:before="0" w:after="57"/>
    </w:pPr>
  </w:style>
  <w:style w:type="paragraph" w:styleId="815">
    <w:name w:val="toc 3"/>
    <w:basedOn w:val="762"/>
    <w:uiPriority w:val="39"/>
    <w:unhideWhenUsed/>
    <w:pPr>
      <w:ind w:left="567" w:right="0" w:firstLine="0"/>
      <w:spacing w:before="0" w:after="57"/>
    </w:pPr>
  </w:style>
  <w:style w:type="paragraph" w:styleId="816">
    <w:name w:val="toc 4"/>
    <w:basedOn w:val="762"/>
    <w:uiPriority w:val="39"/>
    <w:unhideWhenUsed/>
    <w:pPr>
      <w:ind w:left="850" w:right="0" w:firstLine="0"/>
      <w:spacing w:before="0" w:after="57"/>
    </w:pPr>
  </w:style>
  <w:style w:type="paragraph" w:styleId="817">
    <w:name w:val="toc 5"/>
    <w:basedOn w:val="762"/>
    <w:uiPriority w:val="39"/>
    <w:unhideWhenUsed/>
    <w:pPr>
      <w:ind w:left="1134" w:right="0" w:firstLine="0"/>
      <w:spacing w:before="0" w:after="57"/>
    </w:pPr>
  </w:style>
  <w:style w:type="paragraph" w:styleId="818">
    <w:name w:val="toc 6"/>
    <w:basedOn w:val="762"/>
    <w:uiPriority w:val="39"/>
    <w:unhideWhenUsed/>
    <w:pPr>
      <w:ind w:left="1417" w:right="0" w:firstLine="0"/>
      <w:spacing w:before="0" w:after="57"/>
    </w:pPr>
  </w:style>
  <w:style w:type="paragraph" w:styleId="819">
    <w:name w:val="toc 7"/>
    <w:basedOn w:val="762"/>
    <w:uiPriority w:val="39"/>
    <w:unhideWhenUsed/>
    <w:pPr>
      <w:ind w:left="1701" w:right="0" w:firstLine="0"/>
      <w:spacing w:before="0" w:after="57"/>
    </w:pPr>
  </w:style>
  <w:style w:type="paragraph" w:styleId="820">
    <w:name w:val="toc 8"/>
    <w:basedOn w:val="762"/>
    <w:uiPriority w:val="39"/>
    <w:unhideWhenUsed/>
    <w:pPr>
      <w:ind w:left="1984" w:right="0" w:firstLine="0"/>
      <w:spacing w:before="0" w:after="57"/>
    </w:pPr>
  </w:style>
  <w:style w:type="paragraph" w:styleId="821">
    <w:name w:val="toc 9"/>
    <w:basedOn w:val="762"/>
    <w:uiPriority w:val="39"/>
    <w:unhideWhenUsed/>
    <w:pPr>
      <w:ind w:left="2268" w:right="0" w:firstLine="0"/>
      <w:spacing w:before="0" w:after="57"/>
    </w:pPr>
  </w:style>
  <w:style w:type="paragraph" w:styleId="822">
    <w:name w:val="Index Heading"/>
    <w:basedOn w:val="801"/>
  </w:style>
  <w:style w:type="paragraph" w:styleId="823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able of figures"/>
    <w:basedOn w:val="762"/>
    <w:uiPriority w:val="99"/>
    <w:unhideWhenUsed/>
    <w:pPr>
      <w:spacing w:before="0" w:after="0" w:afterAutospacing="0"/>
    </w:pPr>
  </w:style>
  <w:style w:type="paragraph" w:styleId="825">
    <w:name w:val="Колонтитул"/>
    <w:basedOn w:val="762"/>
    <w:qFormat/>
  </w:style>
  <w:style w:type="paragraph" w:styleId="826">
    <w:name w:val="Header"/>
    <w:basedOn w:val="76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7">
    <w:name w:val="Footer"/>
    <w:basedOn w:val="76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28">
    <w:name w:val="Balloon Text"/>
    <w:basedOn w:val="762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29">
    <w:name w:val="List Paragraph"/>
    <w:basedOn w:val="762"/>
    <w:uiPriority w:val="34"/>
    <w:qFormat/>
    <w:pPr>
      <w:contextualSpacing/>
      <w:ind w:left="720"/>
      <w:spacing w:before="0" w:after="200"/>
    </w:pPr>
  </w:style>
  <w:style w:type="paragraph" w:styleId="830">
    <w:name w:val="Содержимое врезки"/>
    <w:basedOn w:val="762"/>
    <w:qFormat/>
  </w:style>
  <w:style w:type="numbering" w:styleId="831" w:default="1">
    <w:name w:val="No List"/>
    <w:uiPriority w:val="99"/>
    <w:semiHidden/>
    <w:unhideWhenUsed/>
    <w:qFormat/>
  </w:style>
  <w:style w:type="table" w:styleId="83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6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8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0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3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7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8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9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0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2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3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4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5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6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7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8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9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50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5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5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8" w:default="1">
    <w:name w:val="Normal Table"/>
    <w:uiPriority w:val="99"/>
    <w:semiHidden/>
    <w:unhideWhenUsed/>
    <w:tblPr/>
  </w:style>
  <w:style w:type="table" w:styleId="959" w:customStyle="1">
    <w:name w:val="StGen2"/>
    <w:pPr>
      <w:ind w:right="0"/>
      <w:jc w:val="left"/>
      <w:spacing w:before="0" w:after="200" w:line="276" w:lineRule="auto"/>
    </w:pPr>
    <w:rPr>
      <w:b w:val="0"/>
      <w:bCs w:val="0"/>
      <w:i w:val="0"/>
      <w:caps w:val="0"/>
      <w:smallCaps w:val="0"/>
      <w:spacing w:val="0"/>
      <w:sz w:val="22"/>
      <w:szCs w:val="22"/>
      <w:lang w:val="ru-RU" w:eastAsia="ru-RU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15" w:type="dxa"/>
        <w:top w:w="0" w:type="dxa"/>
        <w:right w:w="115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yperlink" Target="https://login.consultant.ru/link/?req=doc&amp;base=LAW&amp;n=481382&amp;dst=100060" TargetMode="External"/><Relationship Id="rId16" Type="http://schemas.openxmlformats.org/officeDocument/2006/relationships/hyperlink" Target="https://login.consultant.ru/link/?req=doc&amp;base=LAW&amp;n=458427&amp;dst=100014&amp;field=134&amp;date=12.12.2024" TargetMode="External"/><Relationship Id="rId17" Type="http://schemas.openxmlformats.org/officeDocument/2006/relationships/hyperlink" Target="consultantplus://offline/ref=2B70F4A297CDB716C9D486DADE54556F0D870A47E7BA8A028837B60814A38A57864AA2FEA1D3B73BB064938559F65D3BA7A94488F43CCFFBR0IB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Ковалерова Анастасия Александровна</dc:creator>
  <dc:description/>
  <dc:language>ru-RU</dc:language>
  <cp:revision>60</cp:revision>
  <dcterms:created xsi:type="dcterms:W3CDTF">2024-07-29T12:53:00Z</dcterms:created>
  <dcterms:modified xsi:type="dcterms:W3CDTF">2025-01-22T06:36:38Z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