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</w:pPr>
      <w:r>
        <w:rPr>
          <w:rFonts w:ascii="Liberation Serif" w:hAnsi="Liberation Serif" w:cs="Liberation Serif"/>
          <w:b/>
        </w:rPr>
        <w:t xml:space="preserve">Перечень документов для заключения договора энергоснабжения с исполнителями коммунальных услуг (управляющие организации, товарищества собственников жилья, жилищные кооперативы и иные специализированные потребительские кооперативы)</w:t>
      </w:r>
      <w:r>
        <w:t xml:space="preserve">.</w:t>
      </w:r>
      <w:r/>
    </w:p>
    <w:tbl>
      <w:tblPr>
        <w:tblStyle w:val="688"/>
        <w:tblW w:w="10025" w:type="dxa"/>
        <w:tblLayout w:type="fixed"/>
        <w:tblLook w:val="04A0" w:firstRow="1" w:lastRow="0" w:firstColumn="1" w:lastColumn="0" w:noHBand="0" w:noVBand="1"/>
      </w:tblPr>
      <w:tblGrid>
        <w:gridCol w:w="560"/>
        <w:gridCol w:w="2177"/>
        <w:gridCol w:w="1510"/>
        <w:gridCol w:w="629"/>
        <w:gridCol w:w="356"/>
        <w:gridCol w:w="2395"/>
        <w:gridCol w:w="2398"/>
      </w:tblGrid>
      <w:tr>
        <w:tblPrEx/>
        <w:trPr/>
        <w:tc>
          <w:tcPr>
            <w:tcW w:w="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 w:eastAsiaTheme="minorHAnsi"/>
                <w:b/>
                <w:color w:val="000000"/>
                <w:lang w:eastAsia="en-US"/>
              </w:rPr>
              <w:t xml:space="preserve">№ п/п</w:t>
            </w:r>
            <w:r>
              <w:rPr>
                <w:rFonts w:ascii="Liberation Serif" w:hAnsi="Liberation Serif" w:cs="Liberation Serif"/>
                <w:b/>
              </w:rPr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gridSpan w:val="5"/>
            <w:tcW w:w="7067" w:type="dxa"/>
            <w:vAlign w:val="center"/>
            <w:textDirection w:val="lrTb"/>
            <w:noWrap w:val="false"/>
          </w:tcPr>
          <w:p>
            <w:pPr>
              <w:ind w:firstLine="708"/>
              <w:jc w:val="center"/>
              <w:rPr>
                <w:rFonts w:ascii="Liberation Serif" w:hAnsi="Liberation Serif" w:cs="Liberation Serif"/>
                <w:b/>
                <w:lang w:val="en-US"/>
              </w:rPr>
            </w:pPr>
            <w:r>
              <w:rPr>
                <w:rFonts w:ascii="Liberation Serif" w:hAnsi="Liberation Serif" w:cs="Liberation Serif" w:eastAsiaTheme="minorHAnsi"/>
                <w:b/>
                <w:color w:val="000000"/>
                <w:lang w:eastAsia="en-US"/>
              </w:rPr>
              <w:t xml:space="preserve">Наименование документа</w:t>
            </w:r>
            <w:r>
              <w:rPr>
                <w:rFonts w:ascii="Liberation Serif" w:hAnsi="Liberation Serif" w:cs="Liberation Serif" w:eastAsiaTheme="minorHAnsi"/>
                <w:b/>
                <w:color w:val="000000"/>
                <w:vertAlign w:val="superscript"/>
                <w:lang w:eastAsia="en-US"/>
              </w:rPr>
              <w:t xml:space="preserve">1</w:t>
            </w:r>
            <w:r>
              <w:rPr>
                <w:rFonts w:eastAsiaTheme="minorHAnsi"/>
                <w:b/>
                <w:color w:val="000000"/>
                <w:vertAlign w:val="superscript"/>
                <w:lang w:eastAsia="en-US"/>
              </w:rPr>
              <w:t xml:space="preserve">, 6, 7</w:t>
            </w:r>
            <w:r>
              <w:rPr>
                <w:rFonts w:ascii="Liberation Serif" w:hAnsi="Liberation Serif" w:cs="Liberation Serif"/>
                <w:b/>
                <w:lang w:val="en-US"/>
              </w:rPr>
            </w:r>
            <w:r>
              <w:rPr>
                <w:rFonts w:ascii="Liberation Serif" w:hAnsi="Liberation Serif" w:cs="Liberation Serif"/>
                <w:b/>
                <w:lang w:val="en-US"/>
              </w:rPr>
            </w:r>
          </w:p>
        </w:tc>
        <w:tc>
          <w:tcPr>
            <w:tcW w:w="239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 w:eastAsiaTheme="minorHAnsi"/>
                <w:b/>
                <w:color w:val="000000"/>
                <w:lang w:eastAsia="en-US"/>
              </w:rPr>
              <w:t xml:space="preserve">Обязательность предоставления</w:t>
            </w:r>
            <w:r>
              <w:rPr>
                <w:rFonts w:ascii="Liberation Serif" w:hAnsi="Liberation Serif" w:cs="Liberation Serif"/>
                <w:b/>
              </w:rPr>
            </w:r>
            <w:r>
              <w:rPr>
                <w:rFonts w:ascii="Liberation Serif" w:hAnsi="Liberation Serif" w:cs="Liberation Serif"/>
                <w:b/>
              </w:rPr>
            </w:r>
          </w:p>
        </w:tc>
      </w:tr>
      <w:tr>
        <w:tblPrEx/>
        <w:trPr/>
        <w:tc>
          <w:tcPr>
            <w:tcW w:w="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2"/>
            <w:tcW w:w="368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Заявление о заключении соответствующего договора, содержащее обязательные реквизиты потребителя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3"/>
            <w:tcW w:w="3380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ЮЛ: полное наименование, основной государственный регистрационный номер и идентификационный номер налогоплательщика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23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Обязательно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2"/>
            <w:tcW w:w="3687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gridSpan w:val="3"/>
            <w:tcW w:w="3380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ИП: </w:t>
            </w:r>
            <w:r>
              <w:rPr>
                <w:rFonts w:ascii="Liberation Serif" w:hAnsi="Liberation Serif" w:cs="Liberation Serif"/>
              </w:rPr>
              <w:t xml:space="preserve">фамилия, имя, отчество (при наличии) физического лица, серия, номер и дата выдачи паспорт</w:t>
            </w:r>
            <w:r>
              <w:rPr>
                <w:rFonts w:ascii="Liberation Serif" w:hAnsi="Liberation Serif" w:cs="Liberation Serif"/>
              </w:rPr>
              <w:t xml:space="preserve">а или иного документа, удостоверяющего личность гражданина на территории Российской Федерации, адрес регистрации по месту жительства, основной государственный регистрационный номер индивидуального предпринимателя и идентификационный номер налогоплательщика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239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/>
        <w:tc>
          <w:tcPr>
            <w:tcW w:w="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5"/>
            <w:tcW w:w="7067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Подписанный Заявителем проект договора энергоснабжения или протокол разногласий к проекту договора, форма которого размещена (опубликована) гарантирующим поставщиком в центре очного обслуживания и (или) на своём сайте в сети «Интернет»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239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Предоставляется по желанию Заявителя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tcW w:w="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5"/>
            <w:tcW w:w="7067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Лицензия на осуществление предпринимательской деятельности по управлению многоквартирными домами и решение органа государственного жилищного надзора о внесении изменений в реестр лицензий субъекта Российской Федерации (для управляющих организаций)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9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Обязательно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/>
        <w:tc>
          <w:tcPr>
            <w:tcW w:w="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4"/>
            <w:tcW w:w="4672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tabs>
                <w:tab w:val="left" w:pos="1425" w:leader="none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Документы, подтверждающие полномочия лица на подписание договора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2395" w:type="dxa"/>
            <w:textDirection w:val="lrTb"/>
            <w:noWrap w:val="false"/>
          </w:tcPr>
          <w:p>
            <w:pPr>
              <w:jc w:val="both"/>
              <w:tabs>
                <w:tab w:val="left" w:pos="1425" w:leader="none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Протокол (решение, приказ) или выписка из протокола (решения, приказа) о назначении руководителя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23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Обязательно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4"/>
            <w:tcW w:w="4672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239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Доверенность на подписание договора, если договор подписывает не руководитель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239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4"/>
            <w:tcW w:w="4672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239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Копия паспорта гражданина Российской Федерации или иного документа, удостоверяющего личность, если Заявителем выступает индивидуальный предприниматель или гражданин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239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>
          <w:trHeight w:val="636"/>
        </w:trPr>
        <w:tc>
          <w:tcPr>
            <w:tcW w:w="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5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217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Документы, подтверждающие наличие у Заявителя обязанности по содержанию общего имущества в многоквартирном доме и по предоставлению соответствующей коммунальной услуги потребителям или обязанности по содержанию общего имущества в многоквартирном доме</w:t>
            </w:r>
            <w:r>
              <w:rPr>
                <w:rFonts w:ascii="Liberation Serif" w:hAnsi="Liberation Serif" w:cs="Liberation Serif" w:eastAsiaTheme="minorHAnsi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lang w:eastAsia="en-US"/>
              </w:rPr>
            </w:r>
          </w:p>
          <w:p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3"/>
            <w:tcW w:w="24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Управляющая организация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239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Если собственниками  помещений в многоквартирном доме в качестве способа управления выбрано 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управление управляющей организацией - протокол общего собрания собственников помещений в многоквартирном доме, на котором принято решение о выборе в качестве способа управления многоквартирным домом управление управляющей организацией, и протокол общего со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брания собственников помещений в многоквартирном доме, на котором принято решение о выборе управляющей организации в лице той управляющей организации, которая обращается с заявлением, а также договор управления многоквартирным домом (если таковой заключён)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Обязательно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>
          <w:trHeight w:val="633"/>
        </w:trPr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2177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gridSpan w:val="3"/>
            <w:tcW w:w="2495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9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Если управляющая организация выб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рана по конкурсу уполномоченным органом государственной власти в случаях, предусмотренных жилищным законодательством РФ - протокол открытого конкурса по выбору управляющей организации и (или) договор управления многоквартирным домом (если таковой заключён)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98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>
          <w:trHeight w:val="633"/>
        </w:trPr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2177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gridSpan w:val="3"/>
            <w:tcW w:w="2495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9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Если управляющая организация привлечена для управления многоквартирным домом товариществом или кооперативом - пр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отокол общего собрания собственников помещений в многоквартирном доме, на котором принято решение о выборе управляющей организации и (или) договор управления многоквартирным домом, заключённый между товариществом или кооперативом и управляющей организацией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98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>
          <w:trHeight w:val="633"/>
        </w:trPr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2177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gridSpan w:val="3"/>
            <w:tcW w:w="2495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9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Если управляющая организация привлечена для управления многоквартирным домом застройщиком – договор управления многоквартирным домом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98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>
          <w:trHeight w:val="1861"/>
        </w:trPr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2177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gridSpan w:val="3"/>
            <w:tcW w:w="249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/>
              </w:rPr>
              <w:t xml:space="preserve">ТСЖ, ЖК и иные специализированные потребительские кооперативы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9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Протокол общего собрания собственников помещений в многокв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артирном доме, в котором создано товарищество, или протокол общего собрания членов кооператива, в которых зафиксировано (отражено) решение о выборе в качестве способа управления многоквартирным домом управление соответственно товариществом или кооперативом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98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>
          <w:trHeight w:val="1861"/>
        </w:trPr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2177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gridSpan w:val="3"/>
            <w:tcW w:w="2495" w:type="dxa"/>
            <w:vMerge w:val="continue"/>
            <w:textDirection w:val="lrTb"/>
            <w:noWrap w:val="false"/>
          </w:tcPr>
          <w:p>
            <w:pP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9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Устав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98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>
          <w:trHeight w:val="345"/>
        </w:trPr>
        <w:tc>
          <w:tcPr>
            <w:tcW w:w="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6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4"/>
            <w:tcW w:w="4672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Документы, подтверждающие технологическое присоединение (в том числе и опосредованно)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9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Акт о технологическом присоединении и (или) акт разграничения балансовой принадлежности электросетей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9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Обязательно</w:t>
            </w:r>
            <w:r>
              <w:rPr>
                <w:rFonts w:ascii="Liberation Serif" w:hAnsi="Liberation Serif" w:cs="Liberation Serif" w:eastAsiaTheme="minorHAnsi"/>
                <w:color w:val="000000"/>
                <w:vertAlign w:val="superscript"/>
                <w:lang w:eastAsia="en-US"/>
              </w:rPr>
              <w:t xml:space="preserve">2, 3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>
          <w:trHeight w:val="345"/>
        </w:trPr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5"/>
            <w:tcW w:w="7067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Копия заключённого договора об осуществлении технологического при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соединения к электрическим сетям сетевой организации соответствующих энергопринимающих устройств, в котором срок осуществления мероприятий по технологическому присоединению соответствующих энергопринимающих устройств на дату направления документов не истёк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9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Обязательно к предоставлению в случае заключения договора энергоснабжения до завершения процедуры технологического присоединения энергопринимающих устройств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>
          <w:trHeight w:val="345"/>
        </w:trPr>
        <w:tc>
          <w:tcPr>
            <w:tcW w:w="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7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5"/>
            <w:tcW w:w="7067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Документы об установке и приёме в эксплуатацию коллективного (общедомового) прибора учёта</w:t>
            </w:r>
            <w:r>
              <w:rPr>
                <w:rFonts w:ascii="Liberation Serif" w:hAnsi="Liberation Serif" w:cs="Liberation Serif" w:eastAsiaTheme="minorHAnsi"/>
                <w:color w:val="000000"/>
                <w:vertAlign w:val="superscript"/>
                <w:lang w:eastAsia="en-US"/>
              </w:rPr>
              <w:t xml:space="preserve">4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9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Предоставляется при наличии у Заявителя прибора учёта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>
          <w:trHeight w:val="345"/>
        </w:trPr>
        <w:tc>
          <w:tcPr>
            <w:tcW w:w="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8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5"/>
            <w:tcW w:w="7067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Документ, подтверждающий наличие технологической и (или) аварийной брони</w:t>
            </w:r>
            <w:r>
              <w:rPr>
                <w:rFonts w:ascii="Liberation Serif" w:hAnsi="Liberation Serif" w:cs="Liberation Serif" w:eastAsiaTheme="minorHAnsi"/>
                <w:color w:val="000000"/>
                <w:vertAlign w:val="superscript"/>
                <w:lang w:eastAsia="en-US"/>
              </w:rPr>
              <w:t xml:space="preserve">5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9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Предоставляется при его наличии у Заявителя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>
          <w:trHeight w:val="305"/>
        </w:trPr>
        <w:tc>
          <w:tcPr>
            <w:tcW w:w="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9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3"/>
            <w:tcW w:w="4316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Иные документы, необходимые для заключения договора оказания услуг по передаче электрической энергии в соответствии с Правилами недискриминационного доступа к услугам по передаче электрической энергии и оказания этих услуг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gridSpan w:val="2"/>
            <w:tcW w:w="2751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Документы, подтверждающие величину максимальной мощности энергопринимающих устройств, в отношении которых Заявитель намерен заключить договор, с её распределением по точкам поставки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9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Обязательно, в случае отсутствия указанной информации в документах, подтверждающих технологическое присоединение (в том числе и опосредованно)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>
          <w:trHeight w:val="305"/>
        </w:trPr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3"/>
            <w:tcW w:w="431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gridSpan w:val="2"/>
            <w:tcW w:w="2751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Однолинейная схема электрической сети Заявителя с указанием точек присоединения к объектам электросетевого хозяйства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9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Предоставляется при наличии у Заявителя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>
          <w:trHeight w:val="305"/>
        </w:trPr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3"/>
            <w:tcW w:w="4316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gridSpan w:val="2"/>
            <w:tcW w:w="2751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Документы, содерж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ащие описание приборов учёта, установленных в отношении энергопринимающих устройств, с указанием типов приборов учёта и их классов точности, мест их установки, заводских номеров, даты предыдущей и очередной государственной поверки, межповерочного интервала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9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Предоставляется при наличии у Заявителя приборов учёта и отсутствия указанных данных в акте допуска прибора учёта в эксплуатацию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>
          <w:trHeight w:val="305"/>
        </w:trPr>
        <w:tc>
          <w:tcPr>
            <w:tcW w:w="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10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5"/>
            <w:tcW w:w="7067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Документы, содержащие сведения о размере площади каждого жилого и нежилого помещения в многоквартирном доме, а также об общей площади помещений в многоквартирном доме, включая помещения, входящие в состав общего имущества в многоквартирном доме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9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Обязательно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>
          <w:trHeight w:val="305"/>
        </w:trPr>
        <w:tc>
          <w:tcPr>
            <w:tcW w:w="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11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5"/>
            <w:tcW w:w="7067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Протокол общего собрания собственников помещений в многоквартирном доме, на котором принято решение о заключении собственниками помещений в многоквартирном доме договора электроснабжения с ресурсоснабжающей организацией (если такое решение принято)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9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Обязательно, если такое решение принято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>
          <w:trHeight w:val="305"/>
        </w:trPr>
        <w:tc>
          <w:tcPr>
            <w:tcW w:w="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12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5"/>
            <w:tcW w:w="7067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/>
              </w:rPr>
              <w:t xml:space="preserve">Фамилия, имя, отчество (при наличии), дата и место рождения, реквизиты документа, удостоверяющего личность, контактный телефон и адрес электронной почты (при наличии) каждого собственн</w:t>
            </w:r>
            <w:r>
              <w:rPr>
                <w:rFonts w:ascii="Liberation Serif" w:hAnsi="Liberation Serif" w:cs="Liberation Serif"/>
              </w:rPr>
              <w:t xml:space="preserve">ика и пользователя жилых помещений в многоквартирном доме, наименование (фирменное наименование) и место государственной регистрации юридического лица, контактный телефон, если собственником жилого помещения в многоквартирном доме является юридическое лицо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Обязательно, если представлен протокол, указанный в п. 11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>
          <w:trHeight w:val="305"/>
        </w:trPr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5"/>
            <w:tcW w:w="7067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/>
              </w:rPr>
              <w:t xml:space="preserve">Адреса жилых помещений в многоквартирном доме с указ</w:t>
            </w:r>
            <w:r>
              <w:rPr>
                <w:rFonts w:ascii="Liberation Serif" w:hAnsi="Liberation Serif" w:cs="Liberation Serif"/>
              </w:rPr>
              <w:t xml:space="preserve">анием общей площади жилого помещения, общей площади помещений, входящих в состав общего имущества в многоквартирном доме, а также количества лиц, постоянно проживающих в жилом помещении, и иных сведений, необходимых для расчёта платы за коммунальные услуги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9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>
          <w:trHeight w:val="305"/>
        </w:trPr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5"/>
            <w:tcW w:w="7067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/>
              </w:rPr>
              <w:t xml:space="preserve">Сведения о наличии и типе установленных в жилых помещениях индивидуальных, общих (квартирных), комнатных приборов учёта и распределителей, дате и месте их установки (введения в эксплуатацию), сроках поверки заводом-изготовителем или организацией, осуще</w:t>
            </w:r>
            <w:r>
              <w:rPr>
                <w:rFonts w:ascii="Liberation Serif" w:hAnsi="Liberation Serif" w:cs="Liberation Serif"/>
              </w:rPr>
              <w:t xml:space="preserve">ствлявшей последнюю поверку прибора учёта, дате опломбирования приборов учёта, на основании показаний которых производится расчёт платы за коммунальные услуги, а также их показания за 12 расчётных периодов, предшествующих дате предоставления таких сведений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9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>
          <w:trHeight w:val="305"/>
        </w:trPr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5"/>
            <w:tcW w:w="7067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/>
              </w:rPr>
              <w:t xml:space="preserve">Сведения о составленных актах обследования на предмет установления наличия (отсутствия) технической возможности установки индивидуальных, общих (квартирных), комнатных приборов учёта в жилых помещениях многоквартирного дома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9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>
          <w:trHeight w:val="305"/>
        </w:trPr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5"/>
            <w:tcW w:w="7067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/>
              </w:rPr>
              <w:t xml:space="preserve">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9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>
          <w:trHeight w:val="305"/>
        </w:trPr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5"/>
            <w:tcW w:w="7067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lang w:eastAsia="en-US"/>
              </w:rPr>
              <w:t xml:space="preserve">Сведения о жилых помещениях, в отношении которых введено ограничение или приостановление предоставления коммунальной услуги по </w:t>
            </w:r>
            <w:r>
              <w:rPr>
                <w:rFonts w:ascii="Liberation Serif" w:hAnsi="Liberation Serif" w:cs="Liberation Serif"/>
              </w:rPr>
              <w:t xml:space="preserve">электроснабжению</w:t>
            </w:r>
            <w:r>
              <w:rPr>
                <w:rFonts w:ascii="Liberation Serif" w:hAnsi="Liberation Serif" w:cs="Liberation Serif" w:eastAsiaTheme="minorHAnsi"/>
                <w:lang w:eastAsia="en-US"/>
              </w:rPr>
              <w:t xml:space="preserve"> в случае неполной оплаты коммунальной услуги на дату предоставления сведений, а также сведения об устранении оснований для введения такого ограничения или приостановления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9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>
          <w:trHeight w:val="305"/>
        </w:trPr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5"/>
            <w:tcW w:w="7067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lang w:eastAsia="en-US"/>
              </w:rPr>
              <w:t xml:space="preserve">Сведения о случаях, периодах и основаниях перерасчёта размера платы за коммунальную услугу по </w:t>
            </w:r>
            <w:r>
              <w:rPr>
                <w:rFonts w:ascii="Liberation Serif" w:hAnsi="Liberation Serif" w:cs="Liberation Serif"/>
              </w:rPr>
              <w:t xml:space="preserve">электроснабжению</w:t>
            </w:r>
            <w:r>
              <w:rPr>
                <w:rFonts w:ascii="Liberation Serif" w:hAnsi="Liberation Serif" w:cs="Liberation Serif" w:eastAsiaTheme="minorHAnsi"/>
                <w:lang w:eastAsia="en-US"/>
              </w:rPr>
              <w:t xml:space="preserve">, предоставленные потребителю, копии документов, подтверждающих право потребителя на перерасчёт размера платы в соответствии с </w:t>
            </w:r>
            <w:r>
              <w:rPr>
                <w:rFonts w:ascii="Liberation Serif" w:hAnsi="Liberation Serif" w:cs="Liberation Serif"/>
              </w:rPr>
              <w:t xml:space="preserve">Правилами предоставления коммунальных услуг собственникам и пользователям помещений в многоквартирных домах и жилых домов, утверждёнными постановлением Правительства Российской Федерации от 06.05.2011 г. № 354</w:t>
            </w:r>
            <w:r>
              <w:rPr>
                <w:rFonts w:ascii="Liberation Serif" w:hAnsi="Liberation Serif" w:cs="Liberation Serif" w:eastAsiaTheme="minorHAnsi"/>
                <w:lang w:eastAsia="en-US"/>
              </w:rPr>
              <w:t xml:space="preserve">, за предыдущие 12 месяцев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9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>
          <w:trHeight w:val="305"/>
        </w:trPr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5"/>
            <w:tcW w:w="7067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/>
              </w:rPr>
              <w:t xml:space="preserve">Реквизиты документов, подтверждающих право собственности на каждое жилое помещение в многоквартирном доме и (или) их копии (при их наличии)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9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>
          <w:trHeight w:val="305"/>
        </w:trPr>
        <w:tc>
          <w:tcPr>
            <w:tcW w:w="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13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5"/>
            <w:tcW w:w="7067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Акты осмотра/ввода индивидуальных приборов учёта в эксплуатацию с указанием типа, заводского номера, класса точности, номинального тока, номера пломбы, года поверки и показаний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9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Обязательно, если представлен протокол, указанный в п. 11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</w:tbl>
    <w:p>
      <w:r/>
      <w:r/>
    </w:p>
    <w:p>
      <w:pPr>
        <w:pStyle w:val="836"/>
        <w:numPr>
          <w:ilvl w:val="0"/>
          <w:numId w:val="1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 w:eastAsiaTheme="minorHAnsi"/>
          <w:color w:val="000000"/>
          <w:lang w:eastAsia="en-US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Заяв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итель, в случае если прошло не более 3 лет со дня расторжения договора энергоснабжения (купли-продажи (поставки) электрической энергии (мощности)), ранее заключённого им с ПАО «Саратовэнерго», с которым он имеет намерение заключить договор вновь, направляет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/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заявление о заключении соответствующего договора с приложением документов, указанных в пунктах 2-5 Таблицы. Иные документы, в соответствии с настоящим перечнем, Заявитель предоставляет только в том случае, если они не были ранее предоставле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ны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/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или в них были внесены изменения после их предоставления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/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при заключении предыдущего договора. В этом случае при заключении договора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/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использует документы, имеющиеся у него в отношении соответствующей точки поставки потребителя.</w:t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</w:p>
    <w:p>
      <w:pPr>
        <w:pStyle w:val="836"/>
        <w:numPr>
          <w:ilvl w:val="0"/>
          <w:numId w:val="1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 w:eastAsiaTheme="minorHAnsi"/>
          <w:color w:val="000000"/>
          <w:lang w:eastAsia="en-US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Акт о технологическом присоединении и (или) Акт разграничения балансовой принадлежности электросетей не предоставляются в случаях отсутствия таких документов у Заявителя и наличия документов, подтверждающих факт обращения Заявителя к СО или иному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владельцу объектов электросетевого хозяйства в целях получения таких документов, либо в случае направления документов, для заключения соответствующего договора до завершения процедуры технологического присоединения энергопринимающих устройств потребителя. </w:t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</w:p>
    <w:p>
      <w:pPr>
        <w:pStyle w:val="836"/>
        <w:numPr>
          <w:ilvl w:val="0"/>
          <w:numId w:val="1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 w:eastAsiaTheme="minorHAnsi"/>
          <w:color w:val="000000"/>
          <w:lang w:eastAsia="en-US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Заявитель, в случае если СО или иной владелец объектов электросетевого хозяйства, к которым присоединены энергопринимающие устройства, в отношении котор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ых подано заявление о заключении договора, отказывается или уклоняется от составления и предоставления заявителю документов, подтверждающих технологическое присоединение и (или) разграничение балансовой принадлежности, направляет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/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заявление о заклю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чении договора с приложением к нему документов, имеющихся у Заявителя на дату направления заявления, а также документов, подтверждающих факт обращения Заявителя к СО или иному владельцу объектов электросетевого хозяйства в целях получения таких документов.</w:t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</w:p>
    <w:p>
      <w:pPr>
        <w:pStyle w:val="836"/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 w:eastAsiaTheme="minorHAnsi"/>
          <w:color w:val="000000"/>
          <w:lang w:eastAsia="en-US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Если подключение (технологическое присоединение) многоквартирного дома (жилого дома) к электросети осуществлено до 28.02.2006, документы, подтверждающие факт такого подключения, прилагаются к заявлению при их наличии.</w:t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</w:p>
    <w:p>
      <w:pPr>
        <w:pStyle w:val="836"/>
        <w:numPr>
          <w:ilvl w:val="0"/>
          <w:numId w:val="1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 w:eastAsiaTheme="minorHAnsi"/>
          <w:color w:val="000000"/>
          <w:lang w:eastAsia="en-US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Документом об установке и приёме в эксплуатацию приборов является акт допуска прибора учёта в эксплуатацию, составленный в соответствии с разделом X Основных положений, а если допуск в эксплуатацию прибора учёта был осуществлён до вступления в силу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Основных положений, то документ, который подтверждал факт допуска в эксплуатацию прибора учёта, установленного в отношении соответствующей точки поставки, и был подписан гарантирующим поставщиком (энергосбытовой, энергоснабжающей организацией) и (или) СО.</w:t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</w:p>
    <w:p>
      <w:pPr>
        <w:pStyle w:val="836"/>
        <w:numPr>
          <w:ilvl w:val="0"/>
          <w:numId w:val="1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 w:eastAsiaTheme="minorHAnsi"/>
          <w:color w:val="000000"/>
          <w:lang w:eastAsia="en-US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Документом, подтверждающим наличие технологической и (или) аварийной брони, является акт согласования технологической и (или) аварийной брони, составленный (изменённый) и согласованный в порядке, установленном Правилами недискриминационног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о доступа, потребителем и СО (иным владельцем объектов электросетевого хозяйства, производителем электрической энергии (мощности)), к чьим объектам электросетевого хозяйства (энергетическим установкам) присоединены энергопринимающие устройства потребителя.</w:t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</w:p>
    <w:p>
      <w:pPr>
        <w:pStyle w:val="836"/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 w:eastAsiaTheme="minorHAnsi"/>
          <w:color w:val="000000"/>
          <w:lang w:eastAsia="en-US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В случае если акт согласования технологической и (или) аварийной брони составлен (изменён) и согласован поз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днее даты заключения договора энергоснабжения (купли-продажи (поставки) электрической энергии (мощности)), то такой акт подлежит предоставлению гарантирующему поставщику в соответствии с требованиями абз. 4 пункта 40 и абз. 8 пункта 43 Основных положений. </w:t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</w:p>
    <w:p>
      <w:pPr>
        <w:pStyle w:val="836"/>
        <w:numPr>
          <w:ilvl w:val="0"/>
          <w:numId w:val="1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 w:eastAsiaTheme="minorHAnsi"/>
          <w:color w:val="000000"/>
          <w:lang w:eastAsia="en-US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Документы, прилагаемые к заявлению о заключении договора, кроме проекта до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говора, подаются в виде копий, подписанных уполномоченным лицом Заявителя и заверенных печатью заявителя (при наличии печати), если Заявителем является юридическое лицо, или подписанных гражданином, если Заявителем выступает индивидуальный предприниматель.</w:t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</w:p>
    <w:p>
      <w:pPr>
        <w:pStyle w:val="836"/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 w:eastAsiaTheme="minorHAnsi"/>
          <w:color w:val="000000"/>
          <w:lang w:eastAsia="en-US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Заявитель вправе представить копии таких документов, заверенные лицом, уполномоченным в соответствии с законодательством Российской Федерации на совершение действий по их заверению.</w:t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</w:p>
    <w:p>
      <w:pPr>
        <w:ind w:left="0" w:right="0" w:firstLine="709"/>
        <w:jc w:val="both"/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7) Заявитель при подаче заявле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ния и документов в месте нахождения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/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вправе представить неподписанные и незаверенные копии документов, прилагаемых к заявлению, с одновременным предъявлением оригиналов таких документов. В этом случае в момент принятия заявления и документов от Зая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вителя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/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обязано произвести сверку идентичности копий и оригиналов представленных документов, после чего на копиях таких документов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/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делаются отметки о соответствии подлинности копий документов оригиналам и оригиналы возвращаются Заявителю.</w:t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  <w:r/>
    </w:p>
    <w:sectPr>
      <w:footerReference w:type="default" r:id="rId9"/>
      <w:footnotePr/>
      <w:endnotePr/>
      <w:type w:val="nextPage"/>
      <w:pgSz w:w="11906" w:h="16838" w:orient="portrait"/>
      <w:pgMar w:top="425" w:right="567" w:bottom="1134" w:left="1276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4"/>
      <w:jc w:val="right"/>
    </w:pPr>
    <w:fldSimple w:instr="PAGE \* MERGEFORMAT">
      <w:r>
        <w:t xml:space="preserve">1</w:t>
      </w:r>
    </w:fldSimple>
    <w:r/>
    <w:r/>
  </w:p>
  <w:p>
    <w:pPr>
      <w:pStyle w:val="684"/>
    </w:pP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2"/>
    <w:next w:val="832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2"/>
    <w:next w:val="832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2"/>
    <w:next w:val="832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>
    <w:name w:val="No Spacing"/>
    <w:basedOn w:val="832"/>
    <w:uiPriority w:val="1"/>
    <w:qFormat/>
    <w:pPr>
      <w:spacing w:after="0" w:line="240" w:lineRule="auto"/>
    </w:pPr>
  </w:style>
  <w:style w:type="paragraph" w:styleId="836">
    <w:name w:val="List Paragraph"/>
    <w:basedOn w:val="832"/>
    <w:uiPriority w:val="34"/>
    <w:qFormat/>
    <w:pPr>
      <w:contextualSpacing/>
      <w:ind w:left="720"/>
    </w:pPr>
  </w:style>
  <w:style w:type="character" w:styleId="83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2025-01-20T10:07:49Z</dcterms:modified>
</cp:coreProperties>
</file>