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Liberation Serif" w:hAnsi="Liberation Serif" w:cs="Liberation Serif"/>
          <w:b/>
        </w:rPr>
        <w:t xml:space="preserve">Перечень документов для заключения договора энергоснабжения с исполнителями коммунальных услуг (управляющие организации, товарищества собственников жилья, жилищные кооперативы и иные специализированные потребительские кооперативы)</w:t>
      </w:r>
      <w:r>
        <w:t xml:space="preserve">.</w:t>
      </w:r>
      <w:r/>
    </w:p>
    <w:tbl>
      <w:tblPr>
        <w:tblStyle w:val="688"/>
        <w:tblW w:w="10025" w:type="dxa"/>
        <w:tblLayout w:type="fixed"/>
        <w:tblLook w:val="04A0" w:firstRow="1" w:lastRow="0" w:firstColumn="1" w:lastColumn="0" w:noHBand="0" w:noVBand="1"/>
      </w:tblPr>
      <w:tblGrid>
        <w:gridCol w:w="560"/>
        <w:gridCol w:w="2177"/>
        <w:gridCol w:w="1510"/>
        <w:gridCol w:w="629"/>
        <w:gridCol w:w="356"/>
        <w:gridCol w:w="2395"/>
        <w:gridCol w:w="2398"/>
      </w:tblGrid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№ п/п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5"/>
            <w:tcW w:w="7067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rPr>
                <w:rFonts w:ascii="Liberation Serif" w:hAnsi="Liberation Serif" w:cs="Liberation Serif"/>
                <w:b/>
                <w:lang w:val="en-US"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Наименование документа</w:t>
            </w:r>
            <w:r>
              <w:rPr>
                <w:rFonts w:ascii="Liberation Serif" w:hAnsi="Liberation Serif" w:cs="Liberation Serif" w:eastAsiaTheme="minorHAnsi"/>
                <w:b/>
                <w:color w:val="000000"/>
                <w:vertAlign w:val="superscript"/>
                <w:lang w:eastAsia="en-US"/>
              </w:rPr>
              <w:t xml:space="preserve">1</w:t>
            </w:r>
            <w:r>
              <w:rPr>
                <w:rFonts w:eastAsiaTheme="minorHAnsi"/>
                <w:b/>
                <w:color w:val="000000"/>
                <w:vertAlign w:val="superscript"/>
                <w:lang w:eastAsia="en-US"/>
              </w:rPr>
              <w:t xml:space="preserve">, 6, 7</w:t>
            </w:r>
            <w:r>
              <w:rPr>
                <w:rFonts w:ascii="Liberation Serif" w:hAnsi="Liberation Serif" w:cs="Liberation Serif"/>
                <w:b/>
                <w:lang w:val="en-US"/>
              </w:rPr>
            </w:r>
            <w:r>
              <w:rPr>
                <w:rFonts w:ascii="Liberation Serif" w:hAnsi="Liberation Serif" w:cs="Liberation Serif"/>
                <w:b/>
                <w:lang w:val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Обязательность предоставления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368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Заявление о заключении соответствующего договора, содержащее обязательные реквизиты потребителя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W w:w="33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ЮЛ: полное наименование, основной государственный регистрационный номер и идентификационный номер налогоплательщика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368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gridSpan w:val="3"/>
            <w:tcW w:w="33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ИП: </w:t>
            </w:r>
            <w:r>
              <w:rPr>
                <w:rFonts w:ascii="Liberation Serif" w:hAnsi="Liberation Serif" w:cs="Liberation Serif"/>
              </w:rPr>
              <w:t xml:space="preserve">фамилия, имя, отчество (при наличии) физического лица, серия, номер и дата выдачи паспорт</w:t>
            </w:r>
            <w:r>
              <w:rPr>
                <w:rFonts w:ascii="Liberation Serif" w:hAnsi="Liberation Serif" w:cs="Liberation Serif"/>
              </w:rPr>
              <w:t xml:space="preserve">а или иного документа, удостоверяющего личность гражданина на территории Российской Федерации, адрес регистрации по месту жительства, основной государственный регистрационный номер индивидуального предпринимателя и идентификационный номер налогоплательщика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Подписанный Заявителем проект договора энергоснабжения или протокол разногласий к проекту договора, форма которого размещена (опубликована) гарантирующим поставщиком в центре очного обслуживания и (или) на своём сайте в сети «Интернет»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по желанию Заявителя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(для управляющих организаций)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W w:w="467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425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полномочия лица на подписание договора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both"/>
              <w:tabs>
                <w:tab w:val="left" w:pos="1425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Протокол (решение, приказ) или выписка из протокола (решения, приказа) о назначении руководителя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W w:w="467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Доверенность на подписание договора, если договор подписывает не руководитель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W w:w="467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6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1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наличие у Заявителя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W w:w="24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Управляющая организация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Если собственниками  помещений в многоквартирном доме в качестве способа управления выбрано 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управление управляющей организацией - 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заявлением, а также договор управления многоквартирным домом (если таковой заключён)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3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177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gridSpan w:val="3"/>
            <w:tcW w:w="2495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Если управляющая организация выб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рана по конкурсу уполномоченным органом государственной власти в случаях, предусмотренных жилищным законодательством РФ - протокол открытого конкурса по выбору управляющей организации и (или) договор управления многоквартирным домом (если таковой заключён)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3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177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gridSpan w:val="3"/>
            <w:tcW w:w="2495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Если управляющая организация привлечена для управления многоквартирным домом товариществом или кооперативом - пр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отокол общего собрания собственников помещений в многоквартирном доме, на котором принято решение о выборе управляющей организации и (или) договор управления многоквартирным домом, заключённый между товариществом или кооперативом и управляющей организацией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3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177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gridSpan w:val="3"/>
            <w:tcW w:w="2495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Если управляющая организация привлечена для управления многоквартирным домом застройщиком – договор управления многоквартирным домом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1861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177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gridSpan w:val="3"/>
            <w:tcW w:w="24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ТСЖ, ЖК и иные специализированные потребительские кооперативы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Протокол общего собрания собственников помещений в многокв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артирном доме, в котором создано товарищество, или протокол общего собрания членов кооператива, в которых зафиксировано (отражено) решение о выборе в качестве способа управления многоквартирным домом управление соответственно товариществом или кооперативом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1861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177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gridSpan w:val="3"/>
            <w:tcW w:w="2495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Устав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W w:w="4672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технологическое присоединение (в том числе и опосредованно)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Акт о технологическом присоединении и (или) акт разграничения балансовой принадлежности электросетей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2, 3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Копия заключённого договора об осуществлении технологического при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соединения к электрическим сетям сетевой организации соответствующих энергопринимающих устройств, в котором срок осуществления мероприятий по технологическому присоединению соответствующих энергопринимающих устройств на дату направления документов не истёк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 к предоставлению в случае заключения договора энергоснабжения до завершения процедуры технологического присоединения энергопринимающих устройств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 об установке и приёме в эксплуатацию коллективного (общедомового) прибора учёта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4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 прибора учёта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8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Документ, подтверждающий наличие технологической и (или) аварийной брони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5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его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9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W w:w="43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Иные документы, необходимые для заключения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gridSpan w:val="2"/>
            <w:tcW w:w="275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величину максимальной мощности энергопринимающих устройств, в отношении которых Заявитель намерен заключить договор, с её распределением по точкам поставки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Обязательно, в случае отсутствия указанной информации в документах, подтверждающих технологическое присоединение (в том числе и опосредованно)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W w:w="431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gridSpan w:val="2"/>
            <w:tcW w:w="275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Однолинейная схема электрической сети Заявителя с указанием точек присоединения к объектам электросетевого хозяйства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W w:w="431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gridSpan w:val="2"/>
            <w:tcW w:w="275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содерж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ащие описание приборов учёта, установленных в отношении энергопринимающих устройств, с указанием типов приборов учёта и их классов точности, мест их установки, заводских номеров, даты предыдущей и очередной государственной поверки, межповерочного интервала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 приборов учёта и отсутствия указанных данных в акте допуска прибора учёта в эксплуатацию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содержащие сведения о размере площади каждого жилого и нежилого помещения в многоквартирном доме, а также об общей площади помещений в многоквартирном доме, включая помещения, входящие в состав общего имущества в многоквартирном доме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Протокол общего собрания собственников помещений в многоквартирном доме, на котором принято решение о заключении собственниками помещений в многоквартирном доме договора электроснабжения с ресурсоснабжающей организацией (если такое решение принято)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Обязательно, если такое решение принято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 каждого собственн</w:t>
            </w:r>
            <w:r>
              <w:rPr>
                <w:rFonts w:ascii="Liberation Serif" w:hAnsi="Liberation Serif" w:cs="Liberation Serif"/>
              </w:rPr>
              <w:t xml:space="preserve">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Обязательно, если представлен протокол, указанный в п. 11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Адреса жилых помещений в многоквартирном доме с указ</w:t>
            </w:r>
            <w:r>
              <w:rPr>
                <w:rFonts w:ascii="Liberation Serif" w:hAnsi="Liberation Serif" w:cs="Liberation Serif"/>
              </w:rPr>
              <w:t xml:space="preserve">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</w:t>
            </w:r>
            <w:r>
              <w:rPr>
                <w:rFonts w:ascii="Liberation Serif" w:hAnsi="Liberation Serif" w:cs="Liberation Serif"/>
              </w:rPr>
              <w:t xml:space="preserve">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Сведения о жилых помещениях, в отношении которых введено ограничение или приостановление предоставления коммунальной услуги по </w:t>
            </w:r>
            <w:r>
              <w:rPr>
                <w:rFonts w:ascii="Liberation Serif" w:hAnsi="Liberation Serif" w:cs="Liberation Serif"/>
              </w:rPr>
              <w:t xml:space="preserve">электроснабжению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 в случае неполной оплаты коммунальной услуги на дату предоставления сведений, а также сведения об устранении оснований для введения такого ограничения или приостановления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Сведения о случаях, периодах и основаниях перерасчёта размера платы за коммунальную услугу по </w:t>
            </w:r>
            <w:r>
              <w:rPr>
                <w:rFonts w:ascii="Liberation Serif" w:hAnsi="Liberation Serif" w:cs="Liberation Serif"/>
              </w:rPr>
              <w:t xml:space="preserve">электроснабжению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, предоставленные потребителю, копии документов, подтверждающих право потребителя на перерасчёт размера платы в соответствии с </w:t>
            </w:r>
            <w:r>
              <w:rPr>
                <w:rFonts w:ascii="Liberation Serif" w:hAnsi="Liberation Serif" w:cs="Liberation Serif"/>
              </w:rPr>
              <w:t xml:space="preserve">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г. № 354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, за предыдущие 12 месяцев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Реквизиты документов, подтверждающих право собственности на каждое жилое помещение в многоквартирном доме и (или) их копии (при их наличии)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W w:w="70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Акты осмотра/ввода индивидуальных приборов учёта в эксплуатацию с указанием типа, заводского номера, класса точности, номинального тока, номера пломбы, года поверки и показаний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Обязательно, если представлен протокол, указанный в п. 11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</w:tbl>
    <w:p>
      <w:r/>
      <w:r/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итель, в случае если прошло не более 3 лет со дня расторжения договора энергоснабжения (купли-продажи (поставки) электрической энергии (мощности)), ранее заключённого им с ПАО «Саратовэнерго», с которым он имеет намерение заключить договор вновь, направляет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заявление о заключении соответствующего договора с приложением документов, указанных в пунктах 2-5 Таблицы. Иные документы, в соответствии с настоящим перечнем, Заявитель предоставляет только в том случае, если они не были ранее предоставле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ны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или в них были внесены изменения после их предоставления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при заключении предыдущего договора. В этом случае при заключении договора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использует документы, имеющиеся у него в отношении соответствующей точки поставки потребителя.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Акт о технологическом присоединении и (или) Акт разграничения балансовой принадлежности электросетей не предоставляются в случаях отсутствия таких документов у Заявителя и наличия документов, подтверждающих факт обращения Заявителя к СО или иному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владельцу объектов электросетевого хозяйства в целях получения таких документов, либо в случае направления документов, для заключения соответствующего договора до завершения процедуры технологического присоединения энергопринимающих устройств потребителя. 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Заявитель, в случае если СО или иной владелец объектов электросетевого хозяйства, к которым присоединены энергопринимающие устройства, в отношении котор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ых подано заявление о заключении договора, отказывается или уклоняется от составления и предоставления заявителю документов, подтверждающих технологическое присоединение и (или) разграничение балансовой принадлежности, направляет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заявление о заклю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чении договора с приложением к нему документов, имеющихся у Заявителя на дату направления заявления, а также документов, подтверждающих факт обращения Заявителя к СО или иному владельцу объектов электросетевого хозяйства в целях получения таких документов.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Если подключение (технологическое присоединение) многоквартирного дома (жилого дома) к электросети осуществлено до 28.02.2006, документы, подтверждающие факт такого подключения, прилагаются к заявлению при их наличии.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Документом об установке и приёме в эксплуатацию приборов является акт допуска прибора учёта в эксплуатацию, составленный в соответствии с разделом X Основных положений, а если допуск в эксплуатацию прибора учёта был осуществлён до вступления в силу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Основных положений, то документ, который подтверждал факт допуска в эксплуатацию прибора учёта, установленного в отношении соответствующей точки поставки, и был подписан гарантирующим поставщиком (энергосбытовой, энергоснабжающей организацией) и (или) СО.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Документом, подтверждающим наличие технологической и (или) аварийной брони, является акт согласования технологической и (или) аварийной брони, составленный (изменённый) и согласованный в порядке, установленном Правилами недискриминационног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о доступа, потребителем и СО (иным владельцем объектов электросетевого хозяйства, производителем электрической энергии (мощности)), к чьим объектам электросетевого хозяйства (энергетическим установкам) присоединены энергопринимающие устройства потребителя.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 случае если акт согласования технологической и (или) аварийной брони составлен (изменён) и согласован поз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днее даты заключения договора энергоснабжения (купли-продажи (поставки) электрической энергии (мощности)), то такой акт подлежит предоставлению гарантирующему поставщику в соответствии с требованиями абз. 4 пункта 40 и абз. 8 пункта 43 Основных положений. 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Документы, прилагаемые к заявлению о заключении договора, кроме проекта до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говора, подаются в виде копий, подписанных уполномоченным лицом Заявителя и заверенных печатью заявителя (при наличии печати), если Заявителем является юридическое лицо, или подписанных гражданином, если Заявителем выступает индивидуальный предприниматель.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ind w:left="0" w:right="0" w:firstLine="709"/>
        <w:jc w:val="both"/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7) Заявитель при подаче заявле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ния и документов в месте нахождения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вправе представить неподписанные и незаверенные копии документов, прилагаемых к заявлению, с одновременным предъявлением оригиналов таких документов. В этом случае в момент принятия заявления и документов от Зая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вителя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обязано произвести сверку идентичности копий и оригиналов представленных документов, после чего на копиях таких документов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делаются отметки о соответствии подлинности копий документов оригиналам и оригиналы возвращаются Заявителю.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425" w:right="567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jc w:val="right"/>
    </w:pPr>
    <w:fldSimple w:instr="PAGE \* MERGEFORMAT">
      <w:r>
        <w:t xml:space="preserve">1</w:t>
      </w:r>
    </w:fldSimple>
    <w:r/>
    <w:r/>
  </w:p>
  <w:p>
    <w:pPr>
      <w:pStyle w:val="68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2025-01-20T10:07:49Z</dcterms:modified>
</cp:coreProperties>
</file>