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ind w:left="6520" w:right="0" w:hanging="1276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УТВЕРЖДЕНО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6520" w:right="0" w:hanging="1276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Решением Совета директоров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6520" w:right="0" w:hanging="1276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ПАО «Саратовэнерго»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6520" w:right="0" w:hanging="1276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от «13» августа 2025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6520" w:right="0" w:hanging="1276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(Протокол от «13»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августа 2025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№ 393)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right"/>
        <w:spacing w:after="0" w:line="240" w:lineRule="auto"/>
        <w:widowControl w:val="off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jc w:val="center"/>
        <w:spacing w:before="57" w:after="57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before="57" w:after="57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before="57" w:after="57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before="57" w:after="57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before="57" w:after="57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b/>
          <w:sz w:val="28"/>
          <w:szCs w:val="28"/>
        </w:rPr>
        <w:t xml:space="preserve">ПРАВИЛА ВНУТРЕННЕГО КОНТРОЛЯ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firstLine="709"/>
        <w:jc w:val="center"/>
        <w:spacing w:before="57" w:after="57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 предотвращению, выявлению и пресечению неправомерного использования инсайдерской информации и (или) манипулирования рынком ПАО «Саратовэнерго»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firstLine="709"/>
        <w:jc w:val="center"/>
        <w:spacing w:before="57" w:after="57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spacing w:after="0" w:line="240" w:lineRule="auto"/>
        <w:widowControl w:val="off"/>
        <w:tabs>
          <w:tab w:val="left" w:pos="7436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spacing w:after="0" w:line="240" w:lineRule="auto"/>
        <w:widowControl w:val="off"/>
        <w:tabs>
          <w:tab w:val="left" w:pos="7590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Liberation Serif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Саратов — 2025</w:t>
      </w:r>
      <w:r>
        <w:rPr>
          <w:rFonts w:ascii="Times New Roman" w:hAnsi="Times New Roman" w:eastAsia="Liberation Serif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eastAsia="Liberation Serif" w:cs="Times New Roman"/>
          <w:b/>
          <w:bCs/>
          <w:sz w:val="28"/>
          <w:szCs w:val="28"/>
        </w:rPr>
        <w:t xml:space="preserve">Содержание: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sdt>
      <w:sdtPr>
        <w15:appearance w15:val="boundingBox"/>
        <w:id w:val="-178200074"/>
        <w:docPartObj>
          <w:docPartGallery w:val="Table of Contents"/>
          <w:docPartUnique w:val="true"/>
        </w:docPartObj>
        <w:rPr>
          <w:rFonts w:ascii="Times New Roman" w:hAnsi="Times New Roman" w:cs="Times New Roman"/>
        </w:rPr>
      </w:sdtPr>
      <w:sdtContent>
        <w:p>
          <w:pPr>
            <w:pStyle w:val="911"/>
            <w:tabs>
              <w:tab w:val="left" w:pos="430" w:leader="none"/>
            </w:tabs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>
            <w:fldChar w:fldCharType="begin"/>
          </w:r>
          <w:r>
            <w:rPr>
              <w:rStyle w:val="896"/>
              <w:rFonts w:ascii="Times New Roman" w:hAnsi="Times New Roman" w:eastAsia="Liberation Serif" w:cs="Times New Roman"/>
              <w:b w:val="0"/>
            </w:rPr>
            <w:instrText xml:space="preserve"> TOC \f \o "1-9" \h</w:instrText>
          </w:r>
          <w:r>
            <w:rPr>
              <w:rStyle w:val="896"/>
              <w:rFonts w:ascii="Times New Roman" w:hAnsi="Times New Roman" w:eastAsia="Liberation Serif" w:cs="Times New Roman"/>
              <w:b w:val="0"/>
            </w:rPr>
            <w:fldChar w:fldCharType="separate"/>
          </w:r>
          <w:hyperlink w:tooltip="#_Toc203641265" w:anchor="_Toc203641265" w:history="1">
            <w:r>
              <w:rPr>
                <w:rStyle w:val="888"/>
                <w:rFonts w:ascii="Times New Roman" w:hAnsi="Times New Roman" w:cs="Times New Roman"/>
                <w:b w:val="0"/>
                <w:highlight w:val="white"/>
              </w:rPr>
              <w:t xml:space="preserve">1.</w:t>
            </w:r>
            <w:r>
              <w:rPr>
                <w:rFonts w:ascii="Times New Roman" w:hAnsi="Times New Roman" w:cs="Times New Roman" w:eastAsiaTheme="minorEastAsia"/>
                <w:b w:val="0"/>
                <w:sz w:val="22"/>
                <w:lang w:eastAsia="ru-RU"/>
              </w:rPr>
              <w:tab/>
            </w:r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Общие положения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_Toc203641265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tabs>
              <w:tab w:val="left" w:pos="430" w:leader="none"/>
            </w:tabs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66" w:anchor="_Toc203641266" w:history="1">
            <w:r>
              <w:rPr>
                <w:rStyle w:val="888"/>
                <w:rFonts w:ascii="Times New Roman" w:hAnsi="Times New Roman" w:cs="Times New Roman"/>
                <w:b w:val="0"/>
                <w:highlight w:val="white"/>
              </w:rPr>
              <w:t xml:space="preserve">2.</w:t>
            </w:r>
            <w:r>
              <w:rPr>
                <w:rFonts w:ascii="Times New Roman" w:hAnsi="Times New Roman" w:cs="Times New Roman" w:eastAsiaTheme="minorEastAsia"/>
                <w:b w:val="0"/>
                <w:sz w:val="22"/>
                <w:lang w:eastAsia="ru-RU"/>
              </w:rPr>
              <w:tab/>
            </w:r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Термины и определения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_Toc203641266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67" w:anchor="_Toc203641267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3. </w:t>
            </w:r>
            <w:r>
              <w:rPr>
                <w:rStyle w:val="888"/>
                <w:rFonts w:ascii="Times New Roman" w:hAnsi="Times New Roman" w:cs="Times New Roman"/>
                <w:b w:val="0"/>
                <w:lang w:eastAsia="ru-RU"/>
              </w:rPr>
              <w:t xml:space="preserve">Инс</w:t>
            </w:r>
            <w:r>
              <w:rPr>
                <w:rStyle w:val="888"/>
                <w:rFonts w:ascii="Times New Roman" w:hAnsi="Times New Roman" w:cs="Times New Roman"/>
                <w:b w:val="0"/>
                <w:bCs/>
                <w:lang w:eastAsia="ru-RU"/>
              </w:rPr>
              <w:t xml:space="preserve">айдерская информация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_Toc203641267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68" w:anchor="_Toc203641268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4. Цели, задачи и методы осуществления внутреннего контроля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_Toc203641268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69" w:anchor="_Toc203641269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5. Порядок деятельности, функции Ответственного должностного лица (ОДЛ)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_Toc203641269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0" w:anchor="_Toc203641270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6. Права и обязанности Ответственного должностного лица (ОДЛ)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_Toc203641270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12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1" w:anchor="_Toc203641271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7. Правила составления списка инсайдеро</w:t>
            </w:r>
            <w:r>
              <w:rPr>
                <w:rStyle w:val="888"/>
                <w:rFonts w:ascii="Times New Roman" w:hAnsi="Times New Roman" w:cs="Times New Roman"/>
                <w:b w:val="0"/>
                <w:lang w:eastAsia="ru-RU"/>
              </w:rPr>
              <w:t xml:space="preserve">в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_Toc203641271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13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2" w:anchor="_Toc203641272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8. Правила обращения инсайдерской информации в Обществе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_Toc203641272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17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3" w:anchor="_Toc203641273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9. Защита инсайдерской информации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_Toc203641273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20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4" w:anchor="_Toc203641274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10. </w:t>
            </w:r>
            <w:r>
              <w:rPr>
                <w:rStyle w:val="888"/>
                <w:rFonts w:ascii="Times New Roman" w:hAnsi="Times New Roman" w:cs="Times New Roman"/>
                <w:b w:val="0"/>
                <w:lang w:eastAsia="ru-RU"/>
              </w:rPr>
              <w:t xml:space="preserve">Порядок классификации и хранения носителей инсайдерской информации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_Toc203641274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21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5" w:anchor="_Toc203641275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11. Правила осуществления операций с финансовыми инструментами Общества инсайдерами Общества и связанными с ними лицами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_Toc203641275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21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6" w:anchor="_Toc203641276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12. Ответственность за нарушение требований Закона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_Toc203641276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23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7" w:anchor="_Toc203641277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13.</w:t>
            </w:r>
            <w:r>
              <w:rPr>
                <w:rStyle w:val="888"/>
                <w:rFonts w:ascii="Times New Roman" w:hAnsi="Times New Roman" w:cs="Times New Roman"/>
                <w:b w:val="0"/>
                <w:bCs/>
              </w:rPr>
              <w:t xml:space="preserve"> Требования к отчетности и оценке процесса контроля исполнения обязанностей по предотвращению, выявлению и пресечению НИИИМР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_Toc203641277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23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8" w:anchor="_Toc203641278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14. Заключительные положения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_Toc203641278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24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79" w:anchor="_Toc203641279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Приложение</w:t>
            </w:r>
            <w:r>
              <w:rPr>
                <w:rStyle w:val="888"/>
                <w:rFonts w:ascii="Times New Roman" w:hAnsi="Times New Roman" w:cs="Times New Roman" w:eastAsiaTheme="majorEastAsia"/>
                <w:b w:val="0"/>
              </w:rPr>
              <w:t xml:space="preserve"> 1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_Toc203641279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26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80" w:anchor="_Toc203641280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Приложение 2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_Toc203641280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27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81" w:anchor="_Toc203641281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Приложение 3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_Toc203641281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28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pPr>
          <w:r/>
          <w:hyperlink w:tooltip="#_Toc203641282" w:anchor="_Toc203641282" w:history="1">
            <w:r>
              <w:rPr>
                <w:rStyle w:val="888"/>
                <w:rFonts w:ascii="Times New Roman" w:hAnsi="Times New Roman" w:cs="Times New Roman"/>
                <w:b w:val="0"/>
              </w:rPr>
              <w:t xml:space="preserve">Приложение 4</w:t>
            </w:r>
            <w:r>
              <w:rPr>
                <w:rFonts w:ascii="Times New Roman" w:hAnsi="Times New Roman" w:cs="Times New Roman"/>
                <w:b w:val="0"/>
              </w:rPr>
              <w:tab/>
            </w:r>
            <w:r>
              <w:rPr>
                <w:rFonts w:ascii="Times New Roman" w:hAnsi="Times New Roman" w:cs="Times New Roman"/>
                <w:b w:val="0"/>
              </w:rPr>
              <w:fldChar w:fldCharType="begin"/>
            </w:r>
            <w:r>
              <w:rPr>
                <w:rFonts w:ascii="Times New Roman" w:hAnsi="Times New Roman" w:cs="Times New Roman"/>
                <w:b w:val="0"/>
              </w:rPr>
              <w:instrText xml:space="preserve"> PAGEREF _Toc203641282 \h </w:instrTex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  <w:fldChar w:fldCharType="separate"/>
            </w:r>
            <w:r>
              <w:rPr>
                <w:rFonts w:ascii="Times New Roman" w:hAnsi="Times New Roman" w:cs="Times New Roman"/>
                <w:b w:val="0"/>
              </w:rPr>
              <w:t xml:space="preserve">29</w:t>
            </w:r>
            <w:r>
              <w:rPr>
                <w:rFonts w:ascii="Times New Roman" w:hAnsi="Times New Roman" w:cs="Times New Roman"/>
                <w:b w:val="0"/>
              </w:rPr>
              <w:fldChar w:fldCharType="end"/>
            </w:r>
          </w:hyperlink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  <w:r>
            <w:rPr>
              <w:rFonts w:ascii="Times New Roman" w:hAnsi="Times New Roman" w:cs="Times New Roman" w:eastAsiaTheme="minorEastAsia"/>
              <w:b w:val="0"/>
              <w:sz w:val="22"/>
              <w:lang w:eastAsia="ru-RU"/>
            </w:rPr>
          </w:r>
        </w:p>
        <w:p>
          <w:pPr>
            <w:pStyle w:val="911"/>
            <w:rPr>
              <w:rFonts w:ascii="Times New Roman" w:hAnsi="Times New Roman" w:cs="Times New Roman"/>
              <w:b w:val="0"/>
            </w:rPr>
          </w:pPr>
          <w:r>
            <w:rPr>
              <w:rStyle w:val="896"/>
              <w:rFonts w:ascii="Times New Roman" w:hAnsi="Times New Roman" w:eastAsia="Liberation Serif" w:cs="Times New Roman"/>
              <w:b w:val="0"/>
            </w:rPr>
            <w:fldChar w:fldCharType="end"/>
          </w:r>
          <w:r>
            <w:rPr>
              <w:rFonts w:ascii="Times New Roman" w:hAnsi="Times New Roman" w:cs="Times New Roman"/>
              <w:b w:val="0"/>
            </w:rPr>
          </w:r>
          <w:r>
            <w:rPr>
              <w:rFonts w:ascii="Times New Roman" w:hAnsi="Times New Roman" w:cs="Times New Roman"/>
              <w:b w:val="0"/>
            </w:rPr>
          </w:r>
        </w:p>
      </w:sdtContent>
    </w:sdt>
    <w:p>
      <w:pPr>
        <w:pStyle w:val="91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1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1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1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1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1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25"/>
        <w:numPr>
          <w:ilvl w:val="0"/>
          <w:numId w:val="3"/>
        </w:numPr>
        <w:spacing w:before="0" w:after="0" w:line="240" w:lineRule="auto"/>
        <w:rPr>
          <w:rFonts w:ascii="Times New Roman" w:hAnsi="Times New Roman" w:cs="Times New Roman"/>
          <w:color w:val="auto"/>
        </w:rPr>
      </w:pPr>
      <w:r/>
      <w:bookmarkStart w:id="1" w:name="_Toc203641265"/>
      <w:r>
        <w:rPr>
          <w:rFonts w:ascii="Times New Roman" w:hAnsi="Times New Roman" w:cs="Times New Roman"/>
          <w:color w:val="auto"/>
        </w:rPr>
        <w:t xml:space="preserve">Общие положения</w:t>
      </w:r>
      <w:bookmarkEnd w:id="1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83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83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Настоящие Правила внутреннего контроля по предотвращению, выявлению и пресечению неправомерного использов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ания инсайдерской информации и (или) манипулирования рынком Публичного акционерного общества «Саратовэнерго» (далее – ПАО «Саратовэнерго», Общество)(далее – Правила внутреннего контроля по противодействию НИИИМР) разработаны в соответствии с требованиями: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Федерального зако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на от 27.07.2010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 и отдельные законодательные акты Российской Федерации»;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Федерального закона от 22.04.1996 № 39-ФЗ «О рынке ценных бумаг»;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Федерального закона от 26.12.1995 № 208-ФЗ «Об акционерных обществах»;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Федерального закона от 27.07.2006 №149-ФЗ «Об информации, информационных технологиях и о защите информации»;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Указания Банка России от 01.0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8.2019 № 5222-У «О требованиях к правилам внутреннего контроля по предотвращению, выявлению и пресечению неправомерного использования инсайдерской информации и (или) манипулирования рынком юридических лиц, указанных в пунктах 1, 3 - 8, 11 и 12 статьи 4 Фед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ерального закона от 27 июля 2010 года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 (далее - Указание Банка № 5222-У);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Указания Банка России от 27.09.2021 № 5946-У «О перечне инсайдерской информации юридических лиц, указанных в пунктах 1, 3, 4, 11 и 12 статьи 4 Федерального закона от 27 июля 2010 года N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Федерации», а также о порядке и сроках ее раскрытия» (далее -Указание Банка России);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иных действующих нормативных актов Банка России, подзаконных нормативных правовых актов;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Устава Общества и внутренних документов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1.1.</w:t>
      </w:r>
      <w:r>
        <w:rPr>
          <w:rFonts w:ascii="Times New Roman" w:hAnsi="Times New Roman" w:eastAsia="Liberation Serif" w:cs="Times New Roman"/>
          <w:sz w:val="28"/>
          <w:szCs w:val="28"/>
        </w:rPr>
        <w:tab/>
        <w:t xml:space="preserve">Настоящие Правила внутреннего контроля по противодействию НИИИМР являются локальным нормативным документом постоянного действия и утверждаются, изменяются и признаются утратившими силу Решением Совета директоров ПАО «Саратовэнерго».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1.2.</w:t>
      </w:r>
      <w:r>
        <w:rPr>
          <w:rFonts w:ascii="Times New Roman" w:hAnsi="Times New Roman" w:eastAsia="Liberation Serif" w:cs="Times New Roman"/>
          <w:sz w:val="28"/>
          <w:szCs w:val="28"/>
        </w:rPr>
        <w:tab/>
        <w:t xml:space="preserve">Пра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вила внутреннего контроля по противодействию НИИИМР составлены с учетом характера и масштабов осуществляемой деятельности Общества, а также с учетом того, что Общество является эмитентом, ценные бумаги которого, допущены к участию в организованных торгах.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1.3.</w:t>
      </w:r>
      <w:r>
        <w:rPr>
          <w:rFonts w:ascii="Times New Roman" w:hAnsi="Times New Roman" w:eastAsia="Liberation Serif" w:cs="Times New Roman"/>
          <w:sz w:val="28"/>
          <w:szCs w:val="28"/>
        </w:rPr>
        <w:tab/>
        <w:t xml:space="preserve">Правила внутреннего контроля по противодействию НИИИМР подлежат обязательному выполнению Инсайдерами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1.4. Правила внутреннего контроля по противодействию НИИИМР устанавливают требования к организации следующих бизнес-процессов: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противодействие неправомерному использованию инсайдерской информации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ПАО «Саратовэнерго»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и манипулированию рынком;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контроль исполнения обязанностей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ПАО «Саратовэнерго»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по предотвращению, выявлению и пресечению неправомерного использования инсайдерской информации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ПАО «Саратовэнерго»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и манипулированию рынком, включая: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порядок доступа к инсайдерской информации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ПАО «Саратовэнерго»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порядок охраны конфиденциальности инсайдерской информации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ПАО «Саратовэнерго»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п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орядок контроля за соблюдением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ПАО «Саратовэнерго»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требований законодательства Российской Федерации и нормативных актов Банка России в области противодействия НИИИМР;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пр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авила совершения операций с фина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нсовыми инструментами Общества лицами, указанными в пунктах 7 и 13 статьи 4 Федерального закона от 27.07.2010 № 224-ФЗ «О противодействии НИИИМР и о внесении изменений в отдельные законодательные акты Российской Федерации», включенными в Список инсайдеров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ПАО «Саратовэнерго»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, и связанными с ними лицами.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порядок формирования Списка инсайдеров Общества и представления Списка инсайдеров Общества заинтересованным лицам;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правила уведомления Обществом инсайдеров ПАО «Саратовэнерго»;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иные вопросы, связанные с обращением и защитой инсайдерской информации.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numPr>
          <w:ilvl w:val="0"/>
          <w:numId w:val="3"/>
        </w:numPr>
        <w:spacing w:before="0" w:after="0" w:line="240" w:lineRule="auto"/>
        <w:rPr>
          <w:rFonts w:ascii="Times New Roman" w:hAnsi="Times New Roman" w:cs="Times New Roman"/>
          <w:color w:val="auto"/>
        </w:rPr>
      </w:pPr>
      <w:r/>
      <w:bookmarkStart w:id="2" w:name="_Toc203641266"/>
      <w:r>
        <w:rPr>
          <w:rFonts w:ascii="Times New Roman" w:hAnsi="Times New Roman" w:cs="Times New Roman"/>
          <w:color w:val="auto"/>
        </w:rPr>
        <w:t xml:space="preserve">Термины и определения</w:t>
      </w:r>
      <w:bookmarkEnd w:id="2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tbl>
      <w:tblPr>
        <w:tblW w:w="5000" w:type="pct"/>
        <w:tblInd w:w="-5" w:type="dxa"/>
        <w:tblLayout w:type="fixed"/>
        <w:tblCellMar>
          <w:left w:w="28" w:type="dxa"/>
          <w:top w:w="510" w:type="dxa"/>
          <w:right w:w="28" w:type="dxa"/>
        </w:tblCellMar>
        <w:tblLook w:val="0600" w:firstRow="0" w:lastRow="0" w:firstColumn="0" w:lastColumn="0" w:noHBand="1" w:noVBand="1"/>
      </w:tblPr>
      <w:tblGrid>
        <w:gridCol w:w="2552"/>
        <w:gridCol w:w="7530"/>
      </w:tblGrid>
      <w:tr>
        <w:tblPrEx/>
        <w:trPr/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before="57" w:after="0" w:line="226" w:lineRule="exact"/>
              <w:widowControl w:val="off"/>
              <w:tabs>
                <w:tab w:val="left" w:pos="2409" w:leader="none"/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Термины/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before="57" w:after="0" w:line="226" w:lineRule="exact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сокращения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30" w:type="dxa"/>
            <w:vAlign w:val="center"/>
            <w:textDirection w:val="lrTb"/>
            <w:noWrap w:val="false"/>
          </w:tcPr>
          <w:p>
            <w:pPr>
              <w:ind w:left="709"/>
              <w:jc w:val="center"/>
              <w:spacing w:before="57" w:after="0" w:line="226" w:lineRule="exact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Определения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textDirection w:val="lrTb"/>
            <w:noWrap w:val="false"/>
          </w:tcPr>
          <w:p>
            <w:pPr>
              <w:jc w:val="center"/>
              <w:spacing w:before="57" w:after="113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Общество,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jc w:val="center"/>
              <w:spacing w:before="57" w:after="113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эмитент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ind w:right="57"/>
              <w:jc w:val="both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Публичное акционерное общество «Саратовэнерго» (ПАО «Саратовэнерго»)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textDirection w:val="lrTb"/>
            <w:noWrap w:val="false"/>
          </w:tcPr>
          <w:p>
            <w:pPr>
              <w:jc w:val="center"/>
              <w:spacing w:before="57" w:after="113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  <w:p>
            <w:pPr>
              <w:jc w:val="center"/>
              <w:spacing w:before="57" w:after="113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</w:rPr>
              <w:t xml:space="preserve">Закон</w:t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pStyle w:val="899"/>
              <w:ind w:right="57"/>
              <w:jc w:val="both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lang w:eastAsia="ru-RU"/>
              </w:rPr>
              <w:t xml:space="preserve">Федеральный закон от 27.07.2010 № 224-ФЗ «О противодействии неправомерному использованию   инсайдерской информации и манипулированию рынком и о внесении изменений в отдельные законодательные акты Российской Федерации»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57" w:after="113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Инсайдер Общества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ind w:right="57"/>
              <w:jc w:val="both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Лиц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о, определенное в ст. 4 Закона, имеющее доступ к инсайдерской информации в силу Закона, иных нормативных правовых актов, должностной инструкции, выполнения своих функций на основании трудового и (или) гражданско-правового договора, заключенного с Обществом</w:t>
            </w:r>
            <w:r>
              <w:rPr>
                <w:rFonts w:ascii="Times New Roman" w:hAnsi="Times New Roman" w:eastAsia="Liberation Serif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Liberation Serif" w:cs="Times New Roman"/>
                <w:sz w:val="28"/>
                <w:lang w:eastAsia="ru-RU"/>
              </w:rPr>
              <w:t xml:space="preserve">и включенное в список инсайдеров Общества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Инсайдерская             информация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contextualSpacing/>
              <w:ind w:right="113"/>
              <w:jc w:val="both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Точная и конкретная информация, которая не б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ыла распространена (в том числе сведения, составляющие коммерческую, служебную, банковскую тайну, тайну связи (в части информации о почтовых переводах денежных средств) и иную охраняемую законом тайну) и распространение которой может оказать существенное в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лияние на цены финансовых инструментов, иностранной валюты и (или) товаров (в том числе сведения, касающиеся одного или нескольких эмитентов эмиссионных ценных бумаг,  либо одного или нескольких финансовых инструментов, иностранной валюты и (или) товаров)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Неправомерное использование инсайдерской информации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contextualSpacing/>
              <w:ind w:right="113"/>
              <w:jc w:val="both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pacing w:val="-2"/>
                <w:sz w:val="28"/>
                <w:szCs w:val="28"/>
                <w:lang w:eastAsia="ru-RU"/>
              </w:rPr>
              <w:t xml:space="preserve">Умышленное использование инсайдерской информации для осуществ</w:t>
            </w:r>
            <w:r>
              <w:rPr>
                <w:rFonts w:ascii="Times New Roman" w:hAnsi="Times New Roman" w:eastAsia="Liberation Serif" w:cs="Times New Roman"/>
                <w:spacing w:val="-2"/>
                <w:sz w:val="28"/>
                <w:szCs w:val="28"/>
                <w:lang w:eastAsia="ru-RU"/>
              </w:rPr>
              <w:t xml:space="preserve">ления операций с финансовыми инструментами, иностранной валютой и (или) товарами, к которым относится такая информация, за свой счет или за счет третьего лица, а равно умышленное использование инсайдерской информации путем дачи рекомендаций третьим лицам, </w:t>
            </w:r>
            <w:r>
              <w:rPr>
                <w:rFonts w:ascii="Times New Roman" w:hAnsi="Times New Roman" w:eastAsia="Liberation Serif" w:cs="Times New Roman"/>
                <w:spacing w:val="-2"/>
                <w:sz w:val="28"/>
                <w:szCs w:val="28"/>
                <w:lang w:eastAsia="ru-RU"/>
              </w:rPr>
              <w:t xml:space="preserve">обязывания</w:t>
            </w:r>
            <w:r>
              <w:rPr>
                <w:rFonts w:ascii="Times New Roman" w:hAnsi="Times New Roman" w:eastAsia="Liberation Serif" w:cs="Times New Roman"/>
                <w:spacing w:val="-2"/>
                <w:sz w:val="28"/>
                <w:szCs w:val="28"/>
                <w:lang w:eastAsia="ru-RU"/>
              </w:rPr>
              <w:t xml:space="preserve"> или побуждения их иным образом к приобретению или продаже финансовых инструментов, иностранной валюты и (или) товаров, а так же умышленное использование инсайдерской информации путем ее неправомерной передачи другому лицу.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Список инсайдеров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contextualSpacing/>
              <w:ind w:right="113"/>
              <w:jc w:val="both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Список лиц, определенных в п. 2 ст. 9 Закона, который содержит в том числе персональные данные, являющиеся конфиденциальной информацией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pStyle w:val="89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</w:rPr>
              <w:t xml:space="preserve">Собственный перечень инсайдерской информации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</w:rPr>
              <w:t xml:space="preserve">Внутренний нормативный документ, утвержденный лицом, осуществляющим функции единоличного исполнительного органа Общества, включающий в себя в том числе инсайдерскую информацию, </w:t>
            </w:r>
            <w:hyperlink r:id="rId10" w:tooltip="https://login.consultant.ru/link/?req=doc&amp;base=LAW&amp;n=458427&amp;dst=100014&amp;field=134&amp;date=12.12.2024" w:history="1">
              <w:r>
                <w:rPr>
                  <w:rStyle w:val="888"/>
                  <w:rFonts w:ascii="Times New Roman" w:hAnsi="Times New Roman" w:eastAsia="Liberation Serif" w:cs="Times New Roman"/>
                  <w:color w:val="auto"/>
                  <w:sz w:val="28"/>
                  <w:szCs w:val="28"/>
                  <w:u w:val="none"/>
                </w:rPr>
                <w:t xml:space="preserve">перечень</w:t>
              </w:r>
            </w:hyperlink>
            <w:r>
              <w:rPr>
                <w:rFonts w:ascii="Times New Roman" w:hAnsi="Times New Roman" w:eastAsia="Liberation Serif" w:cs="Times New Roman"/>
                <w:sz w:val="28"/>
                <w:szCs w:val="28"/>
              </w:rPr>
              <w:t xml:space="preserve"> которой утверждается нормативным актом Банка России.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16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Ответственное должностное лицо (ОДЛ)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contextualSpacing/>
              <w:ind w:right="113"/>
              <w:jc w:val="both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Должностное лицо Общества, в обязанности которого входит осуществление контроля за соблюдением Обществом требований Закона, назначаемое единоличным исполнительным органом Общества (Генеральным директором Общества) подчиненное и 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подотчетное 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ему.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Предоставление информации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Действия, направленные на получение информации определенным кругом лиц в соответствии с законодательством Российской Федерации о ценных бумагах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(п. 4 ст. 2 Закона)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Раскрытие информации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Обеспечение доступности информации всем заинтересованным в этом лицам независимо от целей получения данной информации в соответствии с процедурой, гарантирующей ее нахождение и получение. Раскрытой 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информацией на рынке ценных бумаг признается информация, в отношении которой проведены действия по ее раскрытию (п. 1 ст. 30 Федерального закона от 22.04.1996 № 39-ФЗ «О рынке ценных бумаг»)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Распространение информации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contextualSpacing/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Действия: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contextualSpacing/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а) направленные на получение информации неопределенным кругом лиц или на передачу информации неопределенному кругу лиц, в том числе путем ее раскрытия в соответствии с законодательством Российской Федерации о ценных бумагах;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contextualSpacing/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б) 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связанные с опубликованием информации в средствах массовой информации, в том числе в электронных, информационно- телекоммуникационных сетях, доступ к которым не ограничен определенным кругом лиц (включая информационно-телекоммуникационную сеть «Интернет»);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contextualSpacing/>
              <w:ind w:right="113"/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в) связанные с распространением информации через электронные, информационно-телекоммуникационные сети, доступ к которым не ограничен определенным кругом лиц (включая информационно-телекоммуникационную сеть «Интернет») (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пп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. 5 п. 1 ст. 2 Закона)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12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Манипулирование рынком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ind w:right="113"/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Умышленные действия, которые определены законодательством Российской Федерации о противодействии неправомерному использованию инсайдерской информации и манипулированию рынком или нормативными актами Банка России, в резу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льтате которых цена, спрос, предложение или объем торгов финансовым инструментом, иностранной валютой и (или) товаром отклонились от уровня или поддерживались на уровне, существенно отличающемся от того уровня, который сформировался бы без таких действий (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пп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. 8 п.1 ст. 2 Закона)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14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 Риск в</w:t>
            </w:r>
            <w:r>
              <w:rPr>
                <w:rFonts w:ascii="Times New Roman" w:hAnsi="Times New Roman" w:eastAsia="Liberation Serif" w:cs="Times New Roman"/>
                <w:b/>
                <w:bCs/>
                <w:sz w:val="28"/>
                <w:szCs w:val="28"/>
                <w:lang w:eastAsia="ru-RU"/>
              </w:rPr>
              <w:t xml:space="preserve"> области противодействия НИИИМР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contextualSpacing/>
              <w:ind w:right="113"/>
              <w:jc w:val="both"/>
              <w:spacing w:after="57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Ри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ск возникновения у Общества расходов (убытков) и (или) иных неблагоприятных последствий в результате его несоответствия или несоответствия его деятельности требованиям в области противодействия НИИИМР, а также документам Общества в области противодействия </w:t>
            </w:r>
            <w:r>
              <w:rPr>
                <w:rFonts w:ascii="Times New Roman" w:hAnsi="Times New Roman" w:eastAsia="Liberation Serif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НИИИМР и (или) в результате применения Банком России мер в отношении Общества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72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11" w:line="240" w:lineRule="auto"/>
              <w:widowControl w:val="off"/>
              <w:tabs>
                <w:tab w:val="left" w:pos="567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Связанные лица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jc w:val="both"/>
              <w:spacing w:after="11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Применительно к инсайдеру - юридическому лицу: его аффилированные юридические и физические лица, а применительно к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 инсайдеру - физическому лицу: супруг (супруга) инсайдера, его родители, дети, усыновители, усыновленные, полнородные и неполнородные братья и сестры, бабушки и дедушки, а также иное лицо, проживающее совместно с физическим лицом-инсайдером и ведущее с 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113"/>
              <w:jc w:val="both"/>
              <w:spacing w:after="11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общее хозяйство (Кодекс Корпоративного управления, рекомендованный к применению Банком России)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9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Финансовые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  <w:lang w:eastAsia="ru-RU"/>
              </w:rPr>
              <w:t xml:space="preserve">инструменты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contextualSpacing/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Ценные бумаги или производные финансовые инструменты Общества (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пп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. 22 п. 1 ст. 2 Федерального закона от 22.04.1996 № 39-ФЗ «О рынке ценных бумаг»)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11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bCs/>
                <w:spacing w:val="-2"/>
                <w:sz w:val="28"/>
                <w:szCs w:val="28"/>
                <w:lang w:eastAsia="ru-RU"/>
              </w:rPr>
              <w:t xml:space="preserve">Операции 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bCs/>
                <w:spacing w:val="-2"/>
                <w:sz w:val="28"/>
                <w:szCs w:val="28"/>
                <w:lang w:eastAsia="ru-RU"/>
              </w:rPr>
              <w:t xml:space="preserve">финансовыми инструментами, иностранной валютой и (или) товарами (далее -операции)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Совершение сделок и иные действия, направленные на приобретение, отчуждение, ино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е изменение прав на финансовые инструменты, иностранную валюту и (или) товары, а также действия, связанные с принятием обязательств совершить указанные действия, в том числе выставление заявок (дача поручений) или отмена таких заявок (пп.2 п.1 ст.2 Закона)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1191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2552" w:type="dxa"/>
            <w:vAlign w:val="center"/>
            <w:textDirection w:val="lrTb"/>
            <w:noWrap w:val="false"/>
          </w:tcPr>
          <w:p>
            <w:pPr>
              <w:pStyle w:val="89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  <w:p>
            <w:pPr>
              <w:pStyle w:val="89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</w:rPr>
              <w:t xml:space="preserve">Закрытый для совершения</w:t>
            </w:r>
            <w:r>
              <w:rPr>
                <w:rFonts w:ascii="Times New Roman" w:hAnsi="Times New Roman" w:eastAsia="Liberation Serif" w:cs="Times New Roman"/>
              </w:rPr>
              <w:t xml:space="preserve"> сделок</w:t>
            </w:r>
            <w:r>
              <w:rPr>
                <w:rFonts w:ascii="Times New Roman" w:hAnsi="Times New Roman" w:eastAsia="Liberation Serif" w:cs="Times New Roman"/>
                <w:b/>
                <w:sz w:val="28"/>
              </w:rPr>
              <w:t xml:space="preserve"> период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99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13" w:type="dxa"/>
            </w:tcMar>
            <w:tcW w:w="7530" w:type="dxa"/>
            <w:textDirection w:val="lrTb"/>
            <w:noWrap w:val="false"/>
          </w:tcPr>
          <w:p>
            <w:pPr>
              <w:pStyle w:val="899"/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</w:rPr>
              <w:t xml:space="preserve">Период в течение 30 календарных дней, предшествующих опубликованию промежуточной или годовой консолидированной финансовой отчётности Общества</w:t>
            </w:r>
            <w:r>
              <w:rPr>
                <w:rFonts w:ascii="Times New Roman" w:hAnsi="Times New Roman" w:eastAsia="Liberation Serif" w:cs="Times New Roman"/>
                <w:sz w:val="28"/>
              </w:rPr>
              <w:t xml:space="preserve">, составленной в соответствии с Международным стандартом финансовой отчетности (МСФО) (п. 8 Кодекса корпоративной этики Публичного акционерного общества «Интер РАО ЕЭС»)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1191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113" w:type="dxa"/>
              <w:right w:w="28" w:type="dxa"/>
              <w:bottom w:w="0" w:type="dxa"/>
            </w:tcMar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ind w:right="113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28"/>
                <w:szCs w:val="28"/>
              </w:rPr>
              <w:t xml:space="preserve">Организатор торговли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113" w:type="dxa"/>
              <w:right w:w="28" w:type="dxa"/>
              <w:bottom w:w="0" w:type="dxa"/>
            </w:tcMar>
            <w:tcW w:w="7530" w:type="dxa"/>
            <w:vMerge w:val="restart"/>
            <w:textDirection w:val="lrTb"/>
            <w:noWrap w:val="false"/>
          </w:tcPr>
          <w:p>
            <w:pPr>
              <w:ind w:right="113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28"/>
                <w:szCs w:val="28"/>
              </w:rPr>
              <w:t xml:space="preserve">Лицо, являющееся организатором торговли в значении, определенном Федеральным </w:t>
            </w:r>
            <w:hyperlink r:id="rId11" w:tooltip="https://login.consultant.ru/link/?req=doc&amp;base=LAW&amp;n=481382&amp;dst=100060" w:history="1">
              <w:r>
                <w:rPr>
                  <w:rFonts w:ascii="Times New Roman" w:hAnsi="Times New Roman" w:eastAsia="Liberation Serif" w:cs="Times New Roman"/>
                  <w:sz w:val="28"/>
                  <w:szCs w:val="28"/>
                </w:rPr>
                <w:t xml:space="preserve">законом</w:t>
              </w:r>
            </w:hyperlink>
            <w:r>
              <w:rPr>
                <w:rFonts w:ascii="Times New Roman" w:hAnsi="Times New Roman" w:eastAsia="Liberation Serif" w:cs="Times New Roman"/>
                <w:sz w:val="28"/>
                <w:szCs w:val="28"/>
              </w:rPr>
              <w:t xml:space="preserve"> «Об организованных торгах», оказывающее услуги по проведению организованных торгов на товарном и (или) финансовом рынках на основании лицензии биржи или лицензии торговой системы </w:t>
            </w:r>
            <w:r>
              <w:rPr>
                <w:rFonts w:ascii="Times New Roman" w:hAnsi="Times New Roman" w:eastAsia="Liberation Serif" w:cs="Times New Roman"/>
                <w:sz w:val="28"/>
                <w:szCs w:val="28"/>
                <w:lang w:eastAsia="ru-RU"/>
              </w:rPr>
              <w:t xml:space="preserve">(п. 6 ст. 2 Федерального закона от 21.11.2011 № 325-ФЗ «Об организованных торгах»)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pStyle w:val="925"/>
        <w:rPr>
          <w:rFonts w:ascii="Times New Roman" w:hAnsi="Times New Roman" w:cs="Times New Roman"/>
          <w:bCs/>
          <w:color w:val="auto"/>
        </w:rPr>
      </w:pPr>
      <w:r/>
      <w:bookmarkStart w:id="3" w:name="_Toc203641267"/>
      <w:r>
        <w:rPr>
          <w:rFonts w:ascii="Times New Roman" w:hAnsi="Times New Roman" w:cs="Times New Roman"/>
          <w:color w:val="auto"/>
        </w:rPr>
        <w:t xml:space="preserve">3. </w:t>
      </w:r>
      <w:r>
        <w:rPr>
          <w:rFonts w:ascii="Times New Roman" w:hAnsi="Times New Roman" w:cs="Times New Roman"/>
          <w:color w:val="auto"/>
          <w:lang w:eastAsia="ru-RU"/>
        </w:rPr>
        <w:t xml:space="preserve">Инс</w:t>
      </w:r>
      <w:r>
        <w:rPr>
          <w:rFonts w:ascii="Times New Roman" w:hAnsi="Times New Roman" w:cs="Times New Roman"/>
          <w:bCs/>
          <w:color w:val="auto"/>
          <w:lang w:eastAsia="ru-RU"/>
        </w:rPr>
        <w:t xml:space="preserve">айдерская информация</w:t>
      </w:r>
      <w:bookmarkEnd w:id="3"/>
      <w:r>
        <w:rPr>
          <w:rFonts w:ascii="Times New Roman" w:hAnsi="Times New Roman" w:cs="Times New Roman"/>
          <w:bCs/>
          <w:color w:val="auto"/>
        </w:rPr>
      </w:r>
      <w:r>
        <w:rPr>
          <w:rFonts w:ascii="Times New Roman" w:hAnsi="Times New Roman" w:cs="Times New Roman"/>
          <w:bCs/>
          <w:color w:val="auto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3.1. Под инса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йдерской информацией понимается точная и конкретная информация, которая не была распространена (в том числе сведения, составляющие коммерческую, служебную, банковскую тайну, тайну связи (в части информации о почтовых переводах денежных средств) и иную охра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няемую законом тайну) и распространение которой может оказать существенное влияние на цены финансовых инструментов, иностранной валюты и (или) товаров (в том числе сведения, касающиеся одного или нескольких эмитентов эмиссионных ценных бумаг (далее - эмите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нт), одной или нескольких управляющих компаний инвестиционных фондов, паевых инвестиционных фондов и негосударственных пенсионных фондов (далее - управляющая компания) либо одного или нескольких финансовых инструментов, иностранной валюты и (или) товаров).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3.2. К инсайдерской информации Общества относится информация, исчерпывающий перечень которой включен в перечень инсайдерской информации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Общества, включающий в том числе информацию, перечень которой утверждается нормативным актом Банка России.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3.3. Перечень инсайдерской информации Общества утверждается приказом генерального директора.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3.4. Срок и порядок раскрытия инсайдерской информа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ции Общества, в том числе не включенной в утвержденный Банком России перечень инсайдерской информации, устанавливаются законодательством Российской Федерации, а также Правилами внутреннего контроля по предотвращению, выявлению и пресечению НИИИМР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3.5. Сведения, не относящиеся к инсайдерской информации: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сведения, ставшие доступными неограниченному кругу лиц, в том числе в результате их распространения;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осуществленные на основе общед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оступной информации исследования, прогнозы и оценки в отношении финансовых инструментов и (или) товаров Общества, а также рекомендации и (или) предложения об осуществлении операций с финансовыми инструментами, иностранной валютой и (или) товарами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инсайдерская информация после ее официального опубликования.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3.6. В случае если после раскрытия или предоставления инсайдерской информац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ии, сведения, входящие в состав указанной информации, изменяются, информация об этом должна быть в том же порядке раскрыта или представлена не позднее следующего рабочего дня после того, как о таких изменениях стало или должно было стать известно Обществу.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3.7. В случае, если инсайдер раскрывает в ограниченных составе и (или) объеме инсайдер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скую информацию, подлежащую раскрытию в соответствии с требованиями Закона, он обязан направить в Банк России уведомление, содержащее инсайдерскую информацию, которая не раскрывается, в форме электронного документа в сроки, установленные для ее раскрытия.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3.8. Ответственность за актуализацию перечня инсайдерской информации возлагается на подразделение направления по корпоративной работе.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25"/>
        <w:rPr>
          <w:rFonts w:ascii="Times New Roman" w:hAnsi="Times New Roman" w:cs="Times New Roman"/>
          <w:color w:val="auto"/>
        </w:rPr>
      </w:pPr>
      <w:r/>
      <w:bookmarkStart w:id="4" w:name="_Toc203641268"/>
      <w:r>
        <w:rPr>
          <w:rFonts w:ascii="Times New Roman" w:hAnsi="Times New Roman" w:cs="Times New Roman"/>
          <w:color w:val="auto"/>
        </w:rPr>
        <w:t xml:space="preserve">4. Цели, задачи и методы осуществления внутреннего контроля</w:t>
      </w:r>
      <w:bookmarkEnd w:id="4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4.1. В ц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елях противодействия неправомерному использованию инсайдерской информации и манипулированию рынком Общество осуществляет внутренний контроль за соблюдением требований Федерального закона от 27 июля 2010 года № 224-ФЗ и принятых в соответствии с ним нормати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вных актов, порядка и сроков раскрытия инсайдерской информации (отдельных видов инсайдерской информации) Общества, порядка доступа к инсайдерской информации, правил охраны ее конфиденциальности, правил внутреннего контроля в области противодействия НИИИМР.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4.2. Основными задачами внутреннего контроля являются: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4.2.1. Своевременное выявление рисков нарушения Обществом, его работниками нормативных требований в области противодействия НИИИМР;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4.2.2. Подготовка и направление рекомендаций подразделениям Общества и инсайдерам Общества по устранению и минимизации выявленных рисков;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4.2.3. Эффективная реализация контроля за принятием мер по предотвращению и пресечению нарушений, реализацией представленных рекомендаций.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4.3. Методы внутреннего контроля со стороны ОДЛ: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4.3.1. Проверка деятельности структурных подразделений Общес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тва в области противодействия НИИИМР (содержание внутренних документов, трудовых договоров, должностных инструкций, согласование и ревизия доступов к информационным базам, контрольных сроков предоставления и прекращения доступов к инсайдерской информации);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4.3.2. Инструктаж работников по содержанию требований законодательства в области противодействия НИИИМР;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4.3.3. Непосредственный контроль исполнения подразделениями/работниками требований законодательства сфере противодействия НИИИМР;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4.3.4. Своевременное доведение до работников организации информации о новых требованиях, о недопустимости реализации недобросовестных практик на рынке.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color w:val="auto"/>
        </w:rPr>
      </w:pPr>
      <w:r/>
      <w:bookmarkStart w:id="5" w:name="_Toc203641269"/>
      <w:r>
        <w:rPr>
          <w:rFonts w:ascii="Times New Roman" w:hAnsi="Times New Roman" w:cs="Times New Roman"/>
          <w:color w:val="auto"/>
        </w:rPr>
        <w:t xml:space="preserve">5. Порядок деятельности, функции Ответственного должностного лица (ОДЛ)</w:t>
      </w:r>
      <w:bookmarkEnd w:id="5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5.1. ОДЛ в Обществе назначается Приказом Генерального директора, подотчетен </w:t>
      </w:r>
      <w:r>
        <w:rPr>
          <w:rFonts w:ascii="Times New Roman" w:hAnsi="Times New Roman" w:eastAsia="Liberation Serif" w:cs="Times New Roman"/>
          <w:sz w:val="28"/>
          <w:szCs w:val="28"/>
          <w:shd w:val="clear" w:color="ffffff" w:themeColor="background1" w:fill="ffffff" w:themeFill="background1"/>
        </w:rPr>
        <w:t xml:space="preserve">и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подчиненное Генеральному директору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5.2. В целях обеспечения условий для беспрепятственного и эффективного осуществления ОДЛ своих функций Приказ, содержащий информацию о статусе и полномочиях ОДЛ, доводится Генеральным директором до сведения структурных подразделений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 Для беспрепятственного и эффективного осуществления функций ОДЛ структурными подразделениями Общества обеспечивается: 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достаточность информации и коммуникации с работниками Общества (распространение информации, необходимой для осущ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ествления внутреннего контроля и организации коммуникации, обеспечивающей понимание всеми работниками целей и задач внутреннего контроля в области противодействия НИИИМР, а также своих обязанностей по внутреннему контролю в области противодействия НИИИМР; 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решение поставленных перед ОДЛ задач без вмешательства со стороны структурных подразделений и работников, непосредственно осуществляющих деятельность Общества (операционную, финансовую и т.д.) (подпункт 1.11 пункта 1 Указания Банка № 5222-У).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ind w:firstLine="709"/>
        <w:jc w:val="both"/>
        <w:spacing w:after="57"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5.3. Отдельные функции по осуществлению контроля за соблюдением юридическим лицом требований в области противодействия НИИИМР и положений документов Общества, третьим лицам не предоставляются.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5.4. Общество обеспечивает независимость ОДЛ от иных структурных подразделений (должностных лиц) Общества, в том числе посредством установленной для ОДЛ системы оплаты труда и структуры вознаграждения. 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ОДЛ обеспечивается ресу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рсами (материальными, техническими, кадровыми), необходимыми и достаточными для достижения поставленных перед ним задач, а также, доступом к информации, необходимой для осуществления соответствующей функции (подпункт 1.12. пункта 1Указания Банка № 5222-У).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5.5. Осуществление контроля за соблюдением Обществом требований Закона осуществляется ОДЛ на постоянной, непрерывной основе.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5.6. В целях обеспечения непрерывности деятельности ОДЛ его место работы в Обществе должно являться для него основным, на условиях полного рабочего времени (подпункт 1.13. пункта 1Указания Банка № 5222-У).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5.7. В случае временного отсутствия ОДЛ его функции могут быть возложены на иного работника (должностное 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ицо). При этом, временное возложение функций ОДЛ/назначение исполняющего обязанности ОДЛ, невозможно на работника (должностное лицо), не являющееся руководителем службы внутреннего контроля/аудита Общества (подпункт 1.13. пункта 1 Указания Банка № 5222-У).</w:t>
      </w:r>
      <w:r>
        <w:rPr>
          <w:rFonts w:ascii="Times New Roman" w:hAnsi="Times New Roman" w:eastAsia="Liberation Serif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5.8. Общество обеспечивает осуществление мероприятий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, направленных на исключение конфликта интересов у ОДЛ, в том числе в случае принятия Обществом решения о возложении функций ОДЛ на руководителя службы внутреннего контроля/аудита в соответствии с принятыми в Обществе внутренними нормативными документами. 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Распределение функционала работников Общества осуществляется таким образ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ом, чтобы на ОДЛ не возлагались обязанности, исполнение которых способно привести к возникновению конфликта интересов исполняемых контрольных функций, в том числе с бизнес-функциями, функциями внутреннего аудита; режим конфиденциальности для лиц, функциона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льно совмещающих разные типы контроля, устанавливается таким образом, чтобы заложенные в режим конфиденциальности ограничения не влекли за собой невозможность осуществления указанными лицами выполняемых ими функций (подпункт 1.14. Указания Банка № 5222-У).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 Функции ОДЛ, в обязанности которого входит осуществление контроля за соблюдением юридическим лицом требований Закона и принятых в соответствии с ним нормативных актов включают: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5.9.1. Выявление, анализ, оценка и мониторинг риска возникновения у Общества расходов (убытков) и (или) иных неблагоприятных последствий в результате его несоответствия или несоответствия его деятельности требованиям в облас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ти противодействия НИИИМР, а также документам регулирующим порядок и сроки раскрытия инсайдерской информации, порядок доступа к инсайдерской информации, правила и охрану ее конфиденциальности и правила внутреннего контроля в области противодействия НИИИМР;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left="11" w:firstLine="680"/>
        <w:jc w:val="both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5.9.2. Организация процессов, направленных на управление р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исками в области противодействия НИИИМР; в том числе разработка мероприятий, направленных на предупреждение и предотвращение последствий реализации риска в области противодействия НИИИМР, а также осуществление контроля за проведением указанных мероприятий.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left="11" w:firstLine="680"/>
        <w:jc w:val="both"/>
        <w:spacing w:after="57" w:line="218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5.9.3. Ведение учета событий, связанных с рисками в области противодействия НИИИМР.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left="11" w:firstLine="680"/>
        <w:jc w:val="both"/>
        <w:spacing w:after="57" w:line="218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 Осуществление контроля за следующими действиями: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left="11" w:firstLine="680"/>
        <w:jc w:val="both"/>
        <w:spacing w:line="218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5.9.4.1. Информирование Обществом Банк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а России о вероятных и (или) наступивших событиях риска в области противодействия НИИИМР, признанных Обществом существенными, в случае принятия Обществом решения об информировании Банка России о существенных событиях риска в области противодействия НИИИМР.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left="11" w:firstLine="680"/>
        <w:jc w:val="both"/>
        <w:spacing w:line="21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5.9.4.2. Составление Обществом собственных перечней инсайдерской информации и внесение в них изменений;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11" w:firstLine="680"/>
        <w:jc w:val="both"/>
        <w:spacing w:line="218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5.9.4.3. Соблюдение Обществом порядка доступа к инсайдерской информации. Контро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ль соблюдения Обществом порядка доступа к инсайдерской информации и правил охраны ее конфиденциальности осуществляется посредством анализа эффективности процедур, предусмотренных Правилами, а также их соответствия требованиям действующего законодательства.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left="11" w:firstLine="680"/>
        <w:jc w:val="both"/>
        <w:spacing w:line="218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5.9.4.4. Соблюдение Обществом порядка и сроков раскрытия инсайдерской информации эмитента. Контроль осуществляется посредством анализа соблюдения сроков, порядка и полноты раскрытия инсайдерской информации;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left="11" w:firstLine="680"/>
        <w:jc w:val="both"/>
        <w:spacing w:after="57" w:line="218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5.9.4.5. Проведение Обществом мероприятий, направленных на реализацию прав (исполнения обязанностей) в части: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ведения списка инсайдеров; 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уведомления лиц, включенных в список инсайдеров, об их включении в такой список и исключении из него, а также информирования указанных лиц о требованиях Закона;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передачи списка инсайдеров организатору торговли, через которого совершаются операции с финансовыми инструментами, иностранной валютой и (или) товаром по его требованию;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передачи списка инсайдеров в Банк России по его требованию;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направления запросов, содержащих информацию, предусмотренную частями 1-3 статьи 10 Закона, а также предоставления информации при получении Обществом указанных запросов;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направления Обществом в Банк России уведомлений о потенциально нестандартных операциях (в случае принятия Обществом решения об информировании Банка России).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5.9.4.6. Соверш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ение операций с финансовыми инструментами, иностранной валютой и (или) товарами юридическим лицом от своего имени и за свой счет, а также лицами, включенными в список инсайдеров указанного юридического лица; (подпункт 1.15 пункта 1 Указания Банка №5222-У).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5.9.4.7.Соблюдение членами Совета директоров, Генеральным директором (в том числе управляющей организацией, управляющим либо временным единоличным исполнительным органом), членами Ревизионной комиссии Общества (управляющей компании), физическим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 лицами, имеющими доступ к инсайдерской информации Общества на основании трудовых и (или) гражданско-правовых договоров, заключенных с соответствующими лицами, включенными в  список инсайдеров Общества, а также лицами связанными с ними условий совершения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операций с финансовыми инструментами, определенных Советом директоров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5.9.4.8. Обеспечение юридическим лицом соответствия документов юридического лица требованиям в области противодействия НИИИМР и соответствия документов Общества друг другу.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5.9.4.9. Проведение Обществом ознакомления лиц, входящих в состав органов управления, и работников Общества с требованиями в области противодействия НИИИМР и документами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5.9.4.10. Участие в рассмотрении обращений (в том числе жалоб), запросов и заявлений в области противодействия НИИИМР, а также анализ статистики указанных обращений (в том числе жалоб), запросов и заявлений (при наличии указанной статистики).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5.9.4.11.</w:t>
      </w:r>
      <w:r>
        <w:rPr>
          <w:rFonts w:ascii="Times New Roman" w:hAnsi="Times New Roman" w:eastAsia="Liberation Serif" w:cs="Times New Roman"/>
          <w:b/>
        </w:rPr>
        <w:t xml:space="preserve"> 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Составление и предоставление единоличному исполнительному органу Общества отчетов о вероятных и (или) наступивших событиях риска в области противодействия НИИИМР и отчетов о деятельности ОДЛ.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5.9.4.12.</w:t>
      </w:r>
      <w:r>
        <w:rPr>
          <w:rFonts w:ascii="Times New Roman" w:hAnsi="Times New Roman" w:eastAsia="Liberation Serif" w:cs="Times New Roman"/>
          <w:b/>
        </w:rPr>
        <w:t xml:space="preserve"> 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Составление и предоставление единоличному исполнительному органу Общества предложений, направленных на совершенствование проводимых Обществом мероприятий по противодействию НИИИМР.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5.9.4.13. Участие в процессе пересмотра правил внутреннего контроля в области противодействия НИИИМР.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5.9.4.14. Иные функции, необходимые для исполнения Обществом требований Закона и принятых в соответствии с ним нормативных актов в области внутреннего контроля по противодействию НИИИМР.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925"/>
        <w:rPr>
          <w:rFonts w:ascii="Times New Roman" w:hAnsi="Times New Roman" w:cs="Times New Roman"/>
          <w:color w:val="auto"/>
        </w:rPr>
      </w:pPr>
      <w:r/>
      <w:bookmarkStart w:id="6" w:name="_Toc203641270"/>
      <w:r>
        <w:rPr>
          <w:rFonts w:ascii="Times New Roman" w:hAnsi="Times New Roman" w:cs="Times New Roman"/>
          <w:color w:val="auto"/>
        </w:rPr>
        <w:t xml:space="preserve">6. Права и обязанности Ответственного должностного лица (ОДЛ)</w:t>
      </w:r>
      <w:bookmarkEnd w:id="6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6.1. Право запрашивать у лиц, входящих в состав органов (управления) Общества, структурных подразделений и работников Общества документы и информацию, в том числе разъяснения, необходимые для выполнения ОДЛ своих функций;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6.2. Право передачи в Банк России информации о вероятных и (или) наступивших событиях риска в области противодействия НИИИМР.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6.3. В целях совершенствования практики внутреннего контроля ОДЛ вправе по мере необходимости направлять Генеральному директору проект изменений и дополнений в Правила внутреннего контроля по предотвращению, выявлению и пресечению НИИИМР.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6.4. Обязанность разрабатывать рекомендации в области противодействия НИИИМР для решения задач, установленных в правилах внутреннего контроля в области противодействия НИИИМР в соответствии с разделом 4 настоящих правил внутреннего контроля.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6.5. Обязанность информировать Генерального директора Общества обо всех случаях, препятствующих осуществлению функций ОДЛ.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6.6. В процессе осуществления своих функций ОДЛ, осуществляющий контроль за обращением инсайдерской информации вправе: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получать и хранить инсайдерскую информацию Общества как на электронных, так и на материальных носителях;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запрашивать и получать от лиц, включенных в Список инсайдеров Общества информацию и (или) документы, связанные с исполнением (неисполнением) законодательства Российской Федерации в области обращения инсайдерской информации и манипулирования рынком;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осуществлять иные необходимые мероприятия в целях обеспечения соблюдения Обществом законодательства Российской Федерации в области обращения и защиты инсайдерской информации и манипулирования рынком.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bCs/>
          <w:color w:val="auto"/>
        </w:rPr>
      </w:pPr>
      <w:r/>
      <w:bookmarkStart w:id="7" w:name="_Toc203641271"/>
      <w:r>
        <w:rPr>
          <w:rFonts w:ascii="Times New Roman" w:hAnsi="Times New Roman" w:cs="Times New Roman"/>
          <w:color w:val="auto"/>
        </w:rPr>
        <w:t xml:space="preserve">7. Правила составления списка инсайдеро</w:t>
      </w:r>
      <w:r>
        <w:rPr>
          <w:rFonts w:ascii="Times New Roman" w:hAnsi="Times New Roman" w:cs="Times New Roman"/>
          <w:color w:val="auto"/>
          <w:lang w:eastAsia="ru-RU"/>
        </w:rPr>
        <w:t xml:space="preserve">в</w:t>
      </w:r>
      <w:bookmarkEnd w:id="7"/>
      <w:r>
        <w:rPr>
          <w:rFonts w:ascii="Times New Roman" w:hAnsi="Times New Roman" w:cs="Times New Roman"/>
          <w:bCs/>
          <w:color w:val="auto"/>
        </w:rPr>
      </w:r>
      <w:r>
        <w:rPr>
          <w:rFonts w:ascii="Times New Roman" w:hAnsi="Times New Roman" w:cs="Times New Roman"/>
          <w:bCs/>
          <w:color w:val="auto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7.1. В целях учета инсайдеров в Обществе организовано ведение Списка инсайдеров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7.2. Общество ведет список инсайдеров как эмитент, акции которого обращаются на рынке ценных бумаг Российской Федерации.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7.3. Общество обязано вести список инсайдеров по любому иному основанию, предусмотренному законодательством Российской Федерации, в случае возникновения такого основания.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7.4. Инсайдерами Общества являются и в список инсайдеров Общества включаются: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лица, имеющие доступ к инсайдерской информации Общества на основании договоров, заключенных Обществом с соответствующими лицами;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Члены Совета Директоров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Единоличный исполнительный орган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Члены Ревизионной комиссии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Информационные агентства, осуществляющие раскрытие или предоставление информации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Лица, осуществляющие присвоение рейтингов Обществу, а также ценным бумагам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Физические лица, имеющие доступ к инсайдерской информации Общества на основании трудовых и (или) гражданско-правовых договоров, заключенных с соответствующими лицами;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Иные лица, включение которых в список инсайдеров Общества обязательно в силу требований законодательства Российской Федерации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Перечень должностей лиц, имеющих доступ к инсайдерской информации Общества установлен Приказом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Список инсайдеров Общества должен содержать следующую информацию об Обществе: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полное фирменное наименование Общества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сокращенное фирменное наименование Общества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ИНН Общества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ОГРН Общества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место нахождения и почтовый адрес;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контактный телефон, факс, и адрес электронной почты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Список инсайдеров Общества может содержать следующую информацию об инсайдерах-юридических лицах: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полное фирменное наименование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ИНН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ОГРН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место нахождения и почтовый адрес;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контактный телефон, факс и адрес электронной почты.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Список инсайдеров Общества может содержать следующую информацию об инсайдерах-физических лицах: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фамилию, имя, отчество</w:t>
      </w:r>
      <w:r>
        <w:rPr>
          <w:rFonts w:ascii="Times New Roman" w:hAnsi="Times New Roman" w:eastAsia="Liberation Serif" w:cs="Times New Roman"/>
          <w:sz w:val="28"/>
          <w:szCs w:val="28"/>
          <w:lang w:val="en-US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сведения о дате и месте рождения физического лица;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сведения о документе, удостоверяющем личность (серия, номер);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сведения о дате выдачи документа, удостоверяющего личность, и об органе, выдавшем документ (наименование, код подразделения);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сведения о месте жительства физического лица;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сведения об адресе, по которому физическое лицо получает информацию (документы).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Список инсайдеров Общества должен содержать сведения о дате и основании включения лица в список инсайдеров Общества, а также сведения о дате и основании исключения лица из Списка Инсайдеров Общества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7.5. Ведение списка инсайдеров Общества возлагается на структурное подразделение направления по корпоративной работе.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7.6. Список инсайдеров передается организаторам торговли, которые совершаются операции с финансовыми инструментами, в Банк России по письменному требованию (запросу) о передаче списка инсайдеров.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7.7. Основаниями для включения в список инсайдеров являются: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заключение договора (гражданско-правового или трудового), в силу которого лицо получает доступ к инсайдерской информации;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внесение в трудовой договор и/или должностную инструкцию изменений, в результате которых работнику предоставляется доступ к инсайдерской информации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временное предоставление работнику Общества доступа к инсайдерской информации в связи с исполнением отдельных трудовых обязанностей с заключением соответствующего дополнительного соглашения;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избрание лица в состав органов управления и контроля Общества, (члены Совета дир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екторов, члены комитетов при Совете директоров, члены Правления, лицо, осуществляющее функции единоличного исполнительного органа, в том числе управляющая организация, управляющий или временный единоличный исполнительный орган, члены ревизионной комиссии);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представление в Банк России предварительного уведомления о направлении добровольного, обязательного или конку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рирующего предложения о приобретении ценных бумаг в соответствии с законодательством Российской Федерации об акционерных обществах или направление в Общество добровольного, обязательного или конкурирующего предложения, а также лица, имеющие доступ к такой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информации;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получение доступа к инсайдерской информации при ее раскрытии;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заключение договора с информационным агентством, осуществляющим раскрытие инсайдерской информации;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предоставление рейтинговому агентству доступа к инсайдерской информации на основании заключенного договора о присвоении рейтинга Обществу и/или ценным бумагам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7.8. Основанием для исключения лица из списка инсайдеров является: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потеря Обществом статуса инсайдера, в том числе в связи с прекращением допуска финансовых инструментов Общества к торговле на организованных торгах на территории Российской Федерации.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расторжение/прекращение заключенного с лицом, включенного в список инсайдеров Общества, гражданско-правового или трудового договора и прекращение доступа такого лица к инсайдерской информации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прекращение, в том числе досрочное, полномочий члена органа управления и контроля Общества (члена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Совета директоров, члена коллегиального исполнительного органа, члена ревизионной комиссии, в том числе управляющей организации Общества и ее членов органа управления и контроля), консультативно-совещательного органа (члена комитета при Совете директоров);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получение предписания Банка России об исключении конкретного лица из списка инсайдеров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получение вступившего в законную силу решения судебного органа об исключении конкретного лица из списка инсайдеров;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обоснованное обращение лица, ошибочно включенного в список инсайдеров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прекращение деятельности юридического лица в результате ликвидации или реорганизации с исключением его из Единого государственного реестра юридических лиц;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смерть физического лица, объявление его умершим или признание его безвестно отсутствующим.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85" w:lineRule="atLeast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7.9. Инсайдерская информация может быть передана юридическим лицам на основании заключенных договоров после включения указанных лиц в список инсайдеров.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7.10. Список инсайдеров подлежит обновлению по мере появления изменений в категориях лиц, признанных инсайдерами Общества, и по мере получения уведомлений об изменениях паспортных данных инсайдеров.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7.11. Ответственность за информирование структурного подразделения направления по корпоративной работе  о возникновении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или прекращении у лица оснований доступа к инсайдерской информации и предоставление о нем сведений по форме Приложения 1 к настоящим Правилам внутреннего контроля по противодействию НИИИМР возлагается на руководителя структурного подразделения, ответственн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ого за заключение трудового либо гражданско-правового договора Общества с данным лицом (а в случае, если инсайдер является работником Общества – также сам инсайдер), в иных случаях на руководителя структурного подразделения взаимодействующего с инсайдером.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7.12. </w:t>
      </w: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В случае изменения указанных в Приложении 1 к настоящим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Правилам внутреннего контроля по противодействию НИИИМР</w:t>
      </w: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  сведений об инсайдере руководитель структурного подразделения, ответственного за заключение/расторжение трудового либо гражданско-правового договора Общества с инсайдером (а в случае, если ин</w:t>
      </w: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сайдер является работником Общества – также сам инсайдер), обязан информировать структурное подразделение направление по корпоративной работе о произошедших изменениях в течение 1(одного) рабочего дня с момента, когда ему стало известно о таких изменениях.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В случае расторжения трудового договора с инсайдером руководитель структурного подразделения, ответственного за заключение/расторжение трудового</w:t>
      </w:r>
      <w:r>
        <w:rPr>
          <w:rFonts w:ascii="Times New Roman" w:hAnsi="Times New Roman" w:eastAsia="Liberation Serif" w:cs="Times New Roman"/>
          <w:sz w:val="28"/>
          <w:szCs w:val="28"/>
          <w:shd w:val="clear" w:color="auto" w:fill="ffffff"/>
        </w:rPr>
        <w:t xml:space="preserve"> либо гражданско-правового договора Общества с инсайдером (а в случае, если инсайдер является работником Общества – также сам инсайдер) информирует структурное подразделение, направление по корпоративной работе, в течение последнего рабочего дня инсайдера.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7.13. Общество обязано уведомить лицо о включении его в список инсайдеров или исключении из него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не позднее 7 (семи) рабочих дней с даты включения лица в список инсайдеров или даты исключения данного лица из указанного списка в соответствии с формами, указанными в Приложениях 2 и 3 к настоящим  Правилам внутреннего контроля по противодействию НИИИМР.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7.14. Уведомление должно быть подписано уполномоченным на подписание лицом и скреплено печатью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7.15. Общество передает Уведомление о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включении/исключении лица в список инсайдеров Общества под роспись непосредственно лицу, включенному в список инсайдеров Общества, или посредством почтовой, телеграфной, телетайпной, электронной связи, позволяющей установить факт направления Уведомления.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7.16. В случае если Уведомление, направленное Обществом по последнему из известных ему 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дресов, не было получено инсайдером по обстоятельствам, не зависящим от Общества, Общество предпринимает обоснованные и доступные в сложившихся обстоятельствах меры по установлению адреса соответствующего лица, на который может быть направлено Уведомление.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7. В случае внесения изменений в реквизиты Общества (полное фирменное наименование, ИНН и ОГРН, место нахождения, иной адрес для получения почтовой корреспонденции, контактный телефон, факс и адрес электронной почты), Общество информирует в установленном п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орядке лиц, включенных в список инсайдеров Общества, о произошедших изменениях в течение 5 (пяти) рабочих дней с даты произошедших изменений или в течение 5 (пяти) рабочих дней с даты, когда Общество узнало или должно было узнать о произошедших изменениях.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7.18. Общество ведет учет всех направ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ленных Уведомлений в соответствии с требованиями, установленными приказами Банка России. Копии таких Уведомлений и полная информация об их направлении хранится в Обществе в течение не менее 5 (пяти) лет с даты исключения лица из списка инсайдеров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7.19. Ответственность за учет и хранение Уведомлений возлагается на структурное подразделение направление по корпоративной работе.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7.20.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Подразделение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направления по корпоративной работе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в том числе осуществляет следующие функции: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осуществляет методологическую помощь должностным лицам и подразделениям Общества по вопросам своей компетенции;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осуществляет иные задачи, связанные с выполнением требований Закона, принятых в соответствии с ним нормативно-правовых актов и настоящих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Правил внутреннего контроля по противодействию НИИИМР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58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bCs/>
          <w:sz w:val="28"/>
          <w:szCs w:val="28"/>
          <w:lang w:eastAsia="ru-RU"/>
        </w:rPr>
        <w:t xml:space="preserve">7.21. 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При осуществлении своей деятельности 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работники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подразделения направления по корпоративной работе вправе запрашивать  и получать от лиц, включенных в Список  инсайдеров, а та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кже от должностных лиц и подразделений Общества, любую необходимую информацию и (или) документы связанные с неисполнением (неисполнением) законодательства Российской Федерации в области обращения инсайдерской информации и манипулирования рынком, настоящих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Правил внутреннего контроля по противодействию НИИИМР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 и принятых в соответствии с ними локальными нормативными актами Общества.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7.22.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Подразделение направления по корпоративной работе формирует для ОДЛ Общества отчет об исполнении Обществом требований законодательства Российской Федерации в области выявления и пресечения НИИИМР и настоящих Правил внутреннего контроля.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25"/>
        <w:rPr>
          <w:rFonts w:ascii="Times New Roman" w:hAnsi="Times New Roman" w:cs="Times New Roman"/>
          <w:color w:val="auto"/>
        </w:rPr>
      </w:pPr>
      <w:r/>
      <w:bookmarkStart w:id="8" w:name="_Toc203641272"/>
      <w:r>
        <w:rPr>
          <w:rFonts w:ascii="Times New Roman" w:hAnsi="Times New Roman" w:cs="Times New Roman"/>
          <w:color w:val="auto"/>
        </w:rPr>
        <w:t xml:space="preserve">8. Правила обращения инсайдерской информации в Обществе</w:t>
      </w:r>
      <w:bookmarkEnd w:id="8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8.1. Запреты на использование инсайдерской информации Общества: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8.1.1. Обществу и лицам, имеющим доступ к инсайдерской информации Общества, запрещается использовать инсайдерскую информацию Общества: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1) для осуществления операций с финансовыми инструментами Общества, которых касается инсайдерская информация, за свой счет или за счет третьего лица, за исключением совершения опера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ций в рамках исполнения обязательства по покупке или продаже финансовых инструментов Общества, срок исполнения которого наступил, если такое обязательство возникло в результате операции, совершенной до того, как лицу стала известна инсайдерская информация;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2) для передачи ее другому лицу, за исключением с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лучаев передачи этой информации лицу, включенному в список инсайдеров, в связи с исполнением обязанностей, установленных законодательством Российской Федерации, либо в связи с исполнением трудовых обязанностей или исполнением гражданско-правового договора;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3) для дачи рекомендаций третьим лицам, обязывать или побуждать их иным образом к приобретению или продаже финансовых инструментов Общества;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4) для умышленного р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аспространения через средства массовой информации, в том числе Интернет или любым иным способом ложных или вводящих в заблуждение сведений или новостей, которые могут повлиять на цену, спрос, предложение или объем торгов финансовыми инструментами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8.1.2. Лица, получившие до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ступ к инсайдерской информации Общества, несут ответственность за распространение и использование инсайдерской информации, в том числе и после расторжения с ними договора в течение срока, предусмотренного действующим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8.1.3. Запрещается осуществлять действия, относящиеся в соответствии с законодательством Российской Федерации к манипулированию рынком.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8.1.4. Передача инсайдерской информации редакции средства массовой информации, ее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главному редактору, журналисту и иному работнику для ее раскрытия через опубликование не освобождает от ответственности за незаконное получение, использование, разглашение сведений, составляющих коммерческую тайну или конфиденциальную информацию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 Порядок доступа и правила охраны конфиденциальности инсайдерской информации: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8.2.1.В Обществе существует режим охраны конфиденциальности инсайдерской информации;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8.2.2. Доступ к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инсайдерской информации Общества имеют только те лица, которые включены в список инсайдеров Общества и осуществляют свои функции в рамках заключенных трудовых и гражданско-правовых договоров, а также в соответствии с законодательством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8.2.3. Члены органов управления и высшие должностные лица Общества члены Совета директоров, Ревизионной комиссии имеют неограниченный доступ к инсайдерской информации Общества;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Остальные инсайдеры Общества имеют ограниченный доступ к инсайдерской информации - только в рамках, заключенных с ними трудовых и/или гражданско-правовых договоров.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8.2.4. Общество мо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жет проводить контрольные мероприятия соблюдения установленного порядка использования работниками Общества электронных носителей, предоставляемых Обществом в рамках исполнения должностных обязанностей, закрепленных в трудовых договорах инсайдеров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8.2.5. Лица, имеющие доступ к инсайдерской информации Общества, должны соблюдать следующие обязательные правила: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а) соблюдать систему запретов, установленную в п.8.1. настоящих правил обращения инсайдерской информации в Обществе;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б) в процессе работы с инсайдерской информацией исключить возможность ознакомления с ней других работников Общества;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в) строго соблюдать порядок хранения документов, содержащих инсайдерскую информацию, а именно: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хранить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такие документы в сейфах либо закрытых шкафах и ящиках рабочего стола;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при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выходе из помещений не оставлять на рабочих столах документы, содержащие инсайдерскую информацию Общества;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н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е использовать личную электронную почту для отправки и пересылки документов, содержащих инсайдерскую информацию Общества;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без необходимости не выносить документы, содержащие инсайдерскую информацию за пределы рабочих помещений Общества;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своевременно уничтожать все не подлежащие хранению документы, которые могут содержать инсайдерскую информацию, а также удалять всю не подлежащую хранению инсайдерскую информацию, хранящуюся на электронных носителях;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при изложении информации в устном виде, уведомлять собеседника о том,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что данная информация является инсайдерской и ее неправомерное использование влечет ответственность в соответствии с законодательством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при составлении документов, деловой переписке ограничиваться минимальными, действительно необходимыми сведениями, содержащими инсайдерскую информацию;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незамедлительно ставить в известность подразделение направления по корпоративной работе, а также иные подразделения, ответственные за обеспечение безо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пасности в Обществе о фактах утраты документов, содержащих инсайдерскую информацию, а также пропусков, ключей от помещений, где такая информация хранится; о попытках несанкционированного доступа к документам и носителям, содержащим инсайдерскую информацию;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информировать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подразделение направления по корпоративной работе об обстоятельствах, которые способствуют или могут привести к разглашению инсайдерской информации, либо об имевших место фактах разглашения такой информации.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8.2.6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. Ответственность за соблюдение и поддержание порядка доступа и правил охраны конфиденциальности инсайдерской информации в Обществе, а также в отношении документов, содержащих инсайдерскую информацию, возлагается на руководителей структурных подразделений.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8.2.7. Инсайдеры Общества обязаны соблюдать правила обращения инсайдерской информации, установленные настоящими Правилами.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8.3. Правила выявления и раскрытия инсайдерской информации Общества: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8.3.1. Инсайдерс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кая информация Общества подлежит раскрытию в порядке и сроки, установленные законодательством Российской Федерации об инсайдерской информации и манипулировании рынком, и принятыми в соответствии с ним нормативными правовыми актами уполномоченных органов.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.3.2. Инсайдерская информация Общества, включенная в утвержденный Банком России перечень инсайдерской информации, раскрывается в порядке и в сроки, установленные законодательством Российской Федерации для раскрытия инсайдерской информации, предусмотренные: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Положением Банка России от 27.03.2020 № 714-П «О раскрытии информации эмитентами эмиссионных ценных бумаг»;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Внутренними документами Общества, в случае принятия Обществом решения о ее раскрытии.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8.3.3. Инсайдерская информация Общества, не включенная в утвержденный Банком России перечень инсайдерской информации, раскрывается в порядке и в сроки, установленные законодательством Российской Федерации для раскрытия инсайдерской информации, а именно: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 Информация о сделках с акциями эмитента, совершаемых членами Совета директоров эмитента (в соответств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ии с гл.12 Положения Банка России от 27.03.2020 № 714-П «О раскрытии информации эмитентами эмиссионных ценных бумаг») раскрывается путем опубликования в ленте новостей в срок не позднее 1 рабочего дня с момента получения сведений о совершении такой сделки.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Информация о принятых Советом директоров решениях по вопросам, связанным с конфиденциальной информацией эмитента, за исключением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информации о принятых Советом д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иректоров решениях по вопросам, относящимся к его компетенции, в соответствии с федеральными законами (не подлежит раскрытию в соответствии с гл. 13 Положения Банка России от 27.03.2020 № 714-П «О раскрытии информации эмитентами эмиссионных ценных бумаг»);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Информация об условиях договора о поддержании (стабилизации)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цен на эмиссионные ценные бумаги эмитента, за исключением срока действия указанного договора (не подлежит раскрытию в соответствии с п. 38.4 гл. 38 Положения Банка России от 27.03.2020 № 714-П «О раскрытии информации эмитентами эмиссионных ценных бумаг»);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Информация, содержащаяся в нефинансовой отчетности эмитента, за исключением информации, которая ранее уже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была раскрыта (в соответствии с гл. 57 Положения Банка России от 27.03.2020 № 714-П «О раскрытии информации эмитентами эмиссионных ценных бумаг») раскрывается путем опубликования в ленте новостей в срок не позднее 2 рабочих дней с даты утверждения отчета.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contextualSpacing/>
        <w:ind w:left="11" w:firstLine="680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8.3.4. В случае, если инсайдерская информация Общества содер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жится в документах, утверждаемых Советом директоров и/или подписываемых уполномоченным лицом, раскрытие такой инсайдерской информации осуществляется путем обеспечения к ней доступа любым заинтересованным лицам независимо от целей получения этой информации: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11" w:firstLine="680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а) путем опубликования в ленте новостей сообщения о порядке доступа к инсайдерской информации Общества - в срок не позднее 1 рабочего дня с даты опубликования текста документа, содержащего инсайдерскую информацию Общества, на странице в сети Интернет.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11" w:firstLine="680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б) путем опубликования текста документа, содержащего инсайдерскую информацию Общества, на странице в сети Интернет - в срок не позднее 2 рабочих дней: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 даты составления протокола заседания Совета директоров;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с даты подписания документа уполномоченным лицом.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bCs/>
          <w:color w:val="auto"/>
        </w:rPr>
      </w:pPr>
      <w:r/>
      <w:bookmarkStart w:id="9" w:name="undefined"/>
      <w:r/>
      <w:bookmarkStart w:id="10" w:name="_Toc203641273"/>
      <w:r/>
      <w:bookmarkEnd w:id="9"/>
      <w:r>
        <w:rPr>
          <w:rFonts w:ascii="Times New Roman" w:hAnsi="Times New Roman" w:cs="Times New Roman"/>
          <w:color w:val="auto"/>
        </w:rPr>
        <w:t xml:space="preserve">9. Защита инсайдерской информации</w:t>
      </w:r>
      <w:bookmarkEnd w:id="10"/>
      <w:r>
        <w:rPr>
          <w:rFonts w:ascii="Times New Roman" w:hAnsi="Times New Roman" w:cs="Times New Roman"/>
          <w:bCs/>
          <w:color w:val="auto"/>
        </w:rPr>
      </w:r>
      <w:r>
        <w:rPr>
          <w:rFonts w:ascii="Times New Roman" w:hAnsi="Times New Roman" w:cs="Times New Roman"/>
          <w:bCs/>
          <w:color w:val="auto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9.1. Лица, включенные в список инсайдеров Общества, обязаны соблюдать требования, установленные законодательством Российской Федерации, настоящими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Правилами внутреннего контроля по противодействию НИИИМР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иными внутренними документами Общества в отношении: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правил обращения инсайдерской информации в Обществе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правил осуществления операций инсайдерами Общества с финансовыми инструментами Общества;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иных установленных требований в соответствии с законодательством Российской Федерации.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9.2. Обществ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о вносит изменения в трудовые и гражданско-правовые договоры c инсайдерами, получающими доступ к инсайдерской информации, в виде дополнительных соглашений к трудовым договорам и соглашений о конфиденциальности инсайдерской информации к гражданско-правовым 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договорам.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9.3. В целях предотвращения, выявления и пресечения неправомерного использования инсайдерской информации и (или) манипулирования рынком в Обществе: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1) разработаны и утверждены порядок доступа к инсайдерской информации, правила охраны ее конфиденциальности и контроля за соблюдением требований Закона и принятых в соответствии с ним нормативных актов;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2) назначено Ответственное должностное лицо, отвечающее за осуществление контроля по соблюдению Обществом требований Закона;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  <w:lang w:eastAsia="ru-RU"/>
        </w:rPr>
        <w:t xml:space="preserve">3) обеспечены условия для беспрепятственного и эффективного осуществления ОДЛ своих функций.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bCs/>
          <w:color w:val="auto"/>
        </w:rPr>
      </w:pPr>
      <w:r/>
      <w:bookmarkStart w:id="11" w:name="_Toc203641274"/>
      <w:r>
        <w:rPr>
          <w:rFonts w:ascii="Times New Roman" w:hAnsi="Times New Roman" w:cs="Times New Roman"/>
          <w:color w:val="auto"/>
        </w:rPr>
        <w:t xml:space="preserve">10. </w:t>
      </w:r>
      <w:bookmarkStart w:id="12" w:name="__RefHeading___Toc12991_3573046309"/>
      <w:r/>
      <w:bookmarkEnd w:id="12"/>
      <w:r>
        <w:rPr>
          <w:rFonts w:ascii="Times New Roman" w:hAnsi="Times New Roman" w:cs="Times New Roman"/>
          <w:color w:val="auto"/>
          <w:lang w:eastAsia="ru-RU"/>
        </w:rPr>
        <w:t xml:space="preserve">Порядок классификации и хранения носителей инсайдерской информации</w:t>
      </w:r>
      <w:bookmarkEnd w:id="11"/>
      <w:r>
        <w:rPr>
          <w:rFonts w:ascii="Times New Roman" w:hAnsi="Times New Roman" w:cs="Times New Roman"/>
          <w:bCs/>
          <w:color w:val="auto"/>
        </w:rPr>
      </w:r>
      <w:r>
        <w:rPr>
          <w:rFonts w:ascii="Times New Roman" w:hAnsi="Times New Roman" w:cs="Times New Roman"/>
          <w:bCs/>
          <w:color w:val="auto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10.1. Принадлежность документов и сведений к инсайдерской информации определяется Обществом самостоятельно, исходя из критериев, определенных действующим законодательством и настоящими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Правилами внутреннего контроля по противодействию НИИИМР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10.2. Материальные носители (документы), содержащие инсайдерскую информацию, должны находиться в местах хранения, отвечающих требованиям безопасности, исключающим несанкционированный доступ.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10.3. Инсайдер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ская информация, передаваемая в электронном виде, должна содержать подпись, указывающую на конфиденциальность содержащейся информации, ответственности за ее неправомерное использование, и необходимость уничтожения ее в случае попадания ошибочному адресату.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10.4. Категорически запрещается выносить за пределы помещений Общества документы, содержащие инсайдерскую информацию, кроме случаев производственной необходимости и согласования с руководителем подразделения.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10.5. Не допускается оставление на рабочих столах документов, содержащих инсайдерскую информацию, при выходе из помещений.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color w:val="auto"/>
        </w:rPr>
      </w:pPr>
      <w:r/>
      <w:bookmarkStart w:id="13" w:name="_Toc203641275"/>
      <w:r>
        <w:rPr>
          <w:rFonts w:ascii="Times New Roman" w:hAnsi="Times New Roman" w:cs="Times New Roman"/>
          <w:color w:val="auto"/>
        </w:rPr>
        <w:t xml:space="preserve">11. Правила осуществления операций с финансовыми инструментами Общества инсайдерами Общества и связанными с ними лицами</w:t>
      </w:r>
      <w:bookmarkEnd w:id="13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11.1. Настоящие Правила устанавливают требования по осуществлению инсайдерами сделок с финансовыми инструментами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11.2. Правила осуществления сделок с финансовыми инструментами Общества: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11.2.1. Покупка финансовых инструментов Общества допускается только в целях долгосрочного капиталовложения, и не допускается для иных целей, как, например,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краткосрочные сделки. Это означает, что работники Общества, являющиеся инсайдерами, должны владеть (напрямую или через иных, действующих по их поручению лиц) финансовыми инструментами Общества не менее 6 (шесть) месяцев, прежде чем осуществить их продажу;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11.2.2. В случае если операции с финансовыми инструментами Общества в интересах инсайдера, осуществляется третьими лицами, то инсайдер должен обеспечить соблюдение ограничений и/или запретов, содержащихся в настоящих Правилах,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при осуществлении операций с такими инструментами, за исключением случаев, когда по договору с третьим лицом на осуществление операций с финансовыми инструментами, инсайдер не имеет возможности влиять на принятие решений о совершении сделок третьим лицом;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11.2.3. Все инсайдеры Общества обязаны уведомлять Обще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ство, по запросу Общества, о совершенных ими операциях с финансовыми инструментами Общества с даты совершения операций по месту нахождения в соответствии с Уставом Общества в течение 10 (десяти) рабочих дней с даты совершения ими соответствующей операции.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.3. Инсайдеры, получившие предусмотренный пунктом 11.2.3 настоящей статьи запрос, обязаны предоставить запрашиваемую информацию в порядке и в сроки, которые установлены нормативным актом в области обращения инсайдерской информации и манипулирования рынком.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Инсайдер вправе в одном Уведомлении указать сведения о нескольких совершенных им операциях.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Уведомление инсайдера о совершенных им операциях должно быть подписано инсайдером - физическим лицом, а Уведомление инсайдера - юридического лица - подписано и заверено печатью юридического лица.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 случае если Уведомление насчитывает более одного листа, оно должно быть прошито и пронумеровано.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 случае если Уведомления направляется инсайдером - юридическим лицом, они должен быть скреплены печатью такого юридического лица на прошивке и заверены подписью уполномоченного лица такого юридического лица.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 случае если Уведомление направляется инсайдером - физическим лицом, каждая страница должна быть подписана таким физическим лицом.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В случае если Уведомление от имени инсайдера направляется его уп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олномоченным представителем, вместе с Уведомлением направляется доверенность (копия доверенности, заверенная в установленном порядке) или иной документ (копия документа, заверенная в установленном порядке), на котором основываются полномочия представителя.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11.4. Лицам, являющимся инсайдерами Общества и связанным с ни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ми лицам, запрещается совершать любые сделки с ценными бумагами Общества в течение 30 календарных дней, предшествующих опубликованию промежуточной или годовой консолидированной финансовой отчетности Общества (далее - Закрытый для совершения сделок период).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11.5. Если по результатам анализа, проводимого направлением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по корпоративной работе ПАО «Саратовэнерго», обнаружено, что инсайдером совершены сделки в закрытый для совершения сделок период, то информация об установленном факте нарушения условий совершения сделок незамедлительно передается ОДЛ для принятия решения.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color w:val="auto"/>
        </w:rPr>
      </w:pPr>
      <w:r/>
      <w:bookmarkStart w:id="14" w:name="_Toc203641276"/>
      <w:r>
        <w:rPr>
          <w:rFonts w:ascii="Times New Roman" w:hAnsi="Times New Roman" w:cs="Times New Roman"/>
          <w:color w:val="auto"/>
        </w:rPr>
        <w:t xml:space="preserve">12. Ответственность за нарушение требований Закона</w:t>
      </w:r>
      <w:bookmarkEnd w:id="14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12.1. Инсайдеры Общества, являющиеся работниками Общества, несут ответственность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за неправомерное использование инсайдерской информации и могут быть привлечены к дисциплинарной, административной, уголовной или гражданско-правовой ответственности в соответствии с законодательством Российской Федерации и условиями договоров с Обществом.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12.2. Инсайдеры Общества, не являющиеся работниками Общества, нес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ут ответственность за неправомерное использование инсайдерской информации и могут быть привлечены к административной, уголовной или гражданско-правовой ответственности в соответствии законодательством Российской Федерации и условиями договоров с Обществом.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12.3. К ответственности также могут быть привлечены и иные лица, не включенные в Список ин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сайдеров Общества, но распространяющие инсайдерскую информацию или совершающие операции с финансовыми инструментами и (или) товарами Общества с использованием инсайдерской информации за исключениями, предусмотренными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12.4. Любое лицо, распространившее ложные сведения, не несет ответственности за манипулирование рынком, если оно не знало и не должно было знать, что распространенные сведения являются ложными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12.5. Любое лицо, использовавшее инсайдерскую информацию, не несет ответственности за неправомерное использование инсайдерской информации, если оно не знало и не должно было знать, что такая информация является инсайдерской. При этом Общество, его д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олжностные лица и работники не несут ответственности за отсутствие в собственных перечнях инсайдерской информации, не включенной в перечень инсайдерской информации эмитентов, утвержденный нормативным актом Банка России в соответствии с Федеральным законом.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12.6. Лица, допустившие несанкционированное распространение, совершение сделок или иное неправомерное использование инсайдерской информации, несут ответственность за их виновные действия, бездействие.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12.7. В случаях и порядке, предусмотренных законодательством Российской Фе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дерации, Общество и (или) лица, понесшие убытки в результате неправомерного использования и/или распространения инсайдерской информации, вправе потребовать возмещения причиненных им убытков от лиц, в результате действий которых были причинены такие убытки.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b w:val="0"/>
          <w:color w:val="auto"/>
        </w:rPr>
      </w:pPr>
      <w:r/>
      <w:bookmarkStart w:id="15" w:name="_Toc203641277"/>
      <w:r>
        <w:rPr>
          <w:rFonts w:ascii="Times New Roman" w:hAnsi="Times New Roman" w:cs="Times New Roman"/>
          <w:color w:val="auto"/>
        </w:rPr>
        <w:t xml:space="preserve">13.</w:t>
      </w:r>
      <w:r>
        <w:rPr>
          <w:rStyle w:val="895"/>
          <w:rFonts w:ascii="Times New Roman" w:hAnsi="Times New Roman" w:cs="Times New Roman"/>
          <w:b/>
          <w:bCs/>
          <w:color w:val="auto"/>
        </w:rPr>
        <w:t xml:space="preserve"> Требования к отчетности и оценке процесса контроля исполнения обязанностей по предотвращению, выявлению и пресечению НИИИМР</w:t>
      </w:r>
      <w:bookmarkEnd w:id="15"/>
      <w:r>
        <w:rPr>
          <w:rFonts w:ascii="Times New Roman" w:hAnsi="Times New Roman" w:cs="Times New Roman"/>
          <w:b w:val="0"/>
          <w:color w:val="auto"/>
        </w:rPr>
      </w:r>
      <w:r>
        <w:rPr>
          <w:rFonts w:ascii="Times New Roman" w:hAnsi="Times New Roman" w:cs="Times New Roman"/>
          <w:b w:val="0"/>
          <w:color w:val="auto"/>
        </w:rPr>
      </w:r>
    </w:p>
    <w:p>
      <w:pPr>
        <w:contextualSpacing/>
        <w:ind w:left="11" w:firstLine="680"/>
        <w:jc w:val="both"/>
        <w:spacing w:after="57" w:line="22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13.1. ОДЛ ежегодно, не позднее 31 марта года, следующего за отчетным подготавливает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, составляет и предоставляет Генеральному директору Общества отчет о деятельности ОДЛ, а также предложения, направленные на совершенствование проводимых Обществом мероприятий по соблюдению требований в области противодействия НИИИМР. Отчет включает в себя: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информацию об общем количестве инсайдеров Общества;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информацию о количестве включенных и исключенных из списка инсайдеров лиц в отчетном году;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информацию о совершенных инсайдерами сделках с финансовыми инструментами Общества в отчетном году;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информацию о раскрытии инсайдерской информации в отчетном году</w:t>
      </w:r>
      <w:r>
        <w:rPr>
          <w:rFonts w:ascii="Times New Roman" w:hAnsi="Times New Roman" w:eastAsia="Liberation Serif" w:cs="Times New Roman"/>
        </w:rPr>
        <w:t xml:space="preserve">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информация об изменениях законодательства, касающегося инсайдерской информации.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left="11" w:firstLine="680"/>
        <w:jc w:val="both"/>
        <w:spacing w:after="0" w:line="22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13.2. ОДЛ подготавливает, составляет и предоставляет Генеральному директору Общества отчет о вероятных и (или) наступивших событиях риска в области противодействия НИИИМР не позднее 31 марта года, следующего за отче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тным. При выявлении вероятных и (или) наступивших событий риска в области противодействия НИИИМР ОДЛ доводит информацию до Генерального директора не позднее 3 (трех) рабочих дней, следующего за днем выявления указанного события, в простой письменной форме.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13.3. Общество направляет в Банк России информацию о неправомерном использовании инсайдерской информации Обществ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а или иного нарушения требований законодательства в области обращения инсайдерской информации и манипулирования рынком, принятых в соответствии с ним нормативных и нормативных правовых актов в порядке и сроки, предусмотренные действующим законодательством.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13.4. Генеральный директор Общества на основании отчета ОДЛ осуществляет оценку действий Инсайдеров Общества и ОДЛ на предмет соответствия надлежащего исполнения требований в области противодействия НИИИМР и документам Общества.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Ответственность за действия и бездействия лиц, повлекшие нарушения в области противодействия НИИИМР предусматривается разделом 8 настоящих Правил.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13.5. Оценка соответствия требованиям и документам Общества в области НИИИМР осуществляется Генеральным директором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13.6. Предложения, направленные на совершенствование проводимых мероприятий по противодействию НИИИМР, предоставляются Генеральному директору одновременно с Отчетами, предусмотренными п.13.1. Правил.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rPr>
          <w:rFonts w:ascii="Times New Roman" w:hAnsi="Times New Roman" w:cs="Times New Roman"/>
          <w:color w:val="auto"/>
        </w:rPr>
      </w:pPr>
      <w:r/>
      <w:bookmarkStart w:id="16" w:name="_Toc203641278"/>
      <w:r>
        <w:rPr>
          <w:rFonts w:ascii="Times New Roman" w:hAnsi="Times New Roman" w:cs="Times New Roman"/>
          <w:color w:val="auto"/>
        </w:rPr>
        <w:t xml:space="preserve">14. Заключительные положения</w:t>
      </w:r>
      <w:bookmarkEnd w:id="16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14.1. Правила приобретают обязательный характер для применения в Обществе с момента их утверждения Советом директоров Общества.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14.2. В случае прот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иворечия между настоящими Правилами и действующим законодательством Российской Федерации, в том числе в связи с внесением в законодательство изменений после утверждения Правил, Правила применяются в непротиворечащей законодательству части до их пересмотра.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14.3. Пересмотр Правил осуществляется один р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аз в год.  Пересмотр Правил не влечет за собой необходимость внесения изменений в Правила, в случае отсутствия в течении года изменений в законодательство Российской Федерации в области противодействия неправомерному использованию инсайдерской информации,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реализовавшихся рисков в области противодействия НИИИМР, предложений ОДЛ по изменению и дополнению Правил.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eastAsia="Liberation Serif" w:cs="Times New Roman"/>
          <w:sz w:val="28"/>
          <w:szCs w:val="28"/>
        </w:rPr>
      </w:pPr>
      <w:r>
        <w:rPr>
          <w:rFonts w:ascii="Times New Roman" w:hAnsi="Times New Roman" w:eastAsia="Liberation Serif" w:cs="Times New Roman"/>
          <w:sz w:val="28"/>
          <w:szCs w:val="28"/>
        </w:rPr>
        <w:t xml:space="preserve">14.4. Любые изменения/дополнения настоящих Правил подлежат утверждению Решением Совета директоров.</w:t>
      </w:r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11" w:firstLine="68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sectPr>
          <w:footerReference w:type="default" r:id="rId9"/>
          <w:footnotePr/>
          <w:endnotePr/>
          <w:type w:val="nextPage"/>
          <w:pgSz w:w="11906" w:h="16838" w:orient="portrait"/>
          <w:pgMar w:top="1134" w:right="680" w:bottom="1134" w:left="1134" w:header="709" w:footer="709" w:gutter="0"/>
          <w:cols w:num="1" w:sep="0" w:space="1701" w:equalWidth="1"/>
          <w:docGrid w:linePitch="360"/>
          <w:titlePg/>
        </w:sect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5"/>
        <w:ind w:firstLine="10488"/>
        <w:jc w:val="left"/>
        <w:rPr>
          <w:rFonts w:ascii="Times New Roman" w:hAnsi="Times New Roman" w:cs="Times New Roman"/>
          <w:color w:val="auto"/>
          <w:sz w:val="24"/>
          <w:szCs w:val="24"/>
        </w:rPr>
        <w:outlineLvl w:val="4"/>
      </w:pPr>
      <w:r/>
      <w:bookmarkStart w:id="17" w:name="_Toc16"/>
      <w:r/>
      <w:bookmarkStart w:id="18" w:name="_Toc203641279"/>
      <w:r>
        <w:rPr>
          <w:rFonts w:ascii="Times New Roman" w:hAnsi="Times New Roman" w:cs="Times New Roman"/>
          <w:color w:val="auto"/>
          <w:sz w:val="22"/>
          <w:szCs w:val="22"/>
        </w:rPr>
        <w:t xml:space="preserve">Приложение</w:t>
      </w:r>
      <w:r>
        <w:rPr>
          <w:rFonts w:ascii="Times New Roman" w:hAnsi="Times New Roman" w:cs="Times New Roman" w:eastAsiaTheme="majorEastAsia"/>
          <w:color w:val="auto"/>
          <w:sz w:val="24"/>
          <w:szCs w:val="24"/>
        </w:rPr>
        <w:t xml:space="preserve"> 1</w:t>
      </w:r>
      <w:bookmarkEnd w:id="17"/>
      <w:r/>
      <w:bookmarkEnd w:id="18"/>
      <w:r>
        <w:rPr>
          <w:rFonts w:ascii="Times New Roman" w:hAnsi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p>
      <w:pPr>
        <w:contextualSpacing/>
        <w:ind w:firstLine="10488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Liberation Serif" w:cs="Times New Roman"/>
          <w:sz w:val="20"/>
          <w:szCs w:val="20"/>
        </w:rPr>
        <w:t xml:space="preserve">к Правилам внутреннего контроля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10488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19" w:name="_Toc17"/>
      <w:r>
        <w:rPr>
          <w:rFonts w:ascii="Times New Roman" w:hAnsi="Times New Roman" w:eastAsia="Liberation Serif" w:cs="Times New Roman"/>
          <w:sz w:val="20"/>
          <w:szCs w:val="20"/>
        </w:rPr>
        <w:t xml:space="preserve">по предотвращению, выявлению и пресечению </w:t>
      </w:r>
      <w:bookmarkEnd w:id="19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10488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20" w:name="_Toc18"/>
      <w:r>
        <w:rPr>
          <w:rFonts w:ascii="Times New Roman" w:hAnsi="Times New Roman" w:eastAsia="Liberation Serif" w:cs="Times New Roman"/>
          <w:sz w:val="20"/>
          <w:szCs w:val="20"/>
        </w:rPr>
        <w:t xml:space="preserve">неправомерного использования   инсайдерской </w:t>
      </w:r>
      <w:bookmarkEnd w:id="20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10488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21" w:name="_Toc19"/>
      <w:r>
        <w:rPr>
          <w:rFonts w:ascii="Times New Roman" w:hAnsi="Times New Roman" w:eastAsia="Liberation Serif" w:cs="Times New Roman"/>
          <w:sz w:val="20"/>
          <w:szCs w:val="20"/>
        </w:rPr>
        <w:t xml:space="preserve">информации и (или) манипулирования рынком </w:t>
      </w:r>
      <w:bookmarkEnd w:id="21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10488"/>
        <w:spacing w:after="0" w:line="240" w:lineRule="auto"/>
        <w:widowControl w:val="off"/>
        <w:rPr>
          <w:rFonts w:ascii="Times New Roman" w:hAnsi="Times New Roman" w:cs="Times New Roman"/>
        </w:rPr>
        <w:outlineLvl w:val="4"/>
      </w:pPr>
      <w:r/>
      <w:bookmarkStart w:id="22" w:name="_Toc20"/>
      <w:r>
        <w:rPr>
          <w:rFonts w:ascii="Times New Roman" w:hAnsi="Times New Roman" w:eastAsia="Liberation Serif" w:cs="Times New Roman"/>
          <w:sz w:val="20"/>
          <w:szCs w:val="20"/>
        </w:rPr>
        <w:t xml:space="preserve"> ПАО «Саратовэнерго»</w:t>
      </w:r>
      <w:bookmarkEnd w:id="22"/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right="907"/>
        <w:jc w:val="right"/>
        <w:spacing w:after="0" w:line="240" w:lineRule="auto"/>
        <w:widowControl w:val="off"/>
        <w:rPr>
          <w:rFonts w:ascii="Times New Roman" w:hAnsi="Times New Roman" w:cs="Times New Roman"/>
        </w:rPr>
        <w:outlineLvl w:val="4"/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</w:rPr>
        <w:outlineLvl w:val="4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6"/>
          <w:szCs w:val="26"/>
        </w:rPr>
        <w:outlineLvl w:val="4"/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left="709"/>
        <w:jc w:val="center"/>
        <w:spacing w:after="0" w:line="240" w:lineRule="auto"/>
        <w:widowControl w:val="off"/>
        <w:rPr>
          <w:rFonts w:ascii="Times New Roman" w:hAnsi="Times New Roman" w:cs="Times New Roman"/>
        </w:rPr>
        <w:outlineLvl w:val="4"/>
      </w:pPr>
      <w:r/>
      <w:bookmarkStart w:id="23" w:name="_Toc21"/>
      <w:r>
        <w:rPr>
          <w:rFonts w:ascii="Times New Roman" w:hAnsi="Times New Roman" w:cs="Times New Roman" w:eastAsiaTheme="majorEastAsia"/>
          <w:b/>
          <w:sz w:val="26"/>
          <w:szCs w:val="26"/>
        </w:rPr>
        <w:t xml:space="preserve">Форма для предоставления сведений об инсайдерах</w:t>
      </w:r>
      <w:bookmarkEnd w:id="23"/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4253"/>
        <w:spacing w:after="0" w:line="235" w:lineRule="exact"/>
        <w:widowControl w:val="off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</w:r>
      <w:r>
        <w:rPr>
          <w:rFonts w:ascii="Times New Roman" w:hAnsi="Times New Roman" w:cs="Times New Roman"/>
          <w:b/>
          <w:bCs/>
          <w:sz w:val="26"/>
          <w:szCs w:val="26"/>
        </w:rPr>
      </w:r>
      <w:r>
        <w:rPr>
          <w:rFonts w:ascii="Times New Roman" w:hAnsi="Times New Roman" w:cs="Times New Roman"/>
          <w:b/>
          <w:bCs/>
          <w:sz w:val="26"/>
          <w:szCs w:val="26"/>
        </w:rPr>
      </w:r>
    </w:p>
    <w:p>
      <w:pPr>
        <w:ind w:left="6066"/>
        <w:spacing w:after="0" w:line="235" w:lineRule="exact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b/>
          <w:bCs/>
          <w:sz w:val="26"/>
          <w:szCs w:val="26"/>
        </w:rPr>
        <w:t xml:space="preserve">Физические лица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6584"/>
        <w:spacing w:after="0" w:line="235" w:lineRule="exact"/>
        <w:widowControl w:val="o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W w:w="500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1282"/>
        <w:gridCol w:w="1369"/>
        <w:gridCol w:w="1504"/>
        <w:gridCol w:w="1426"/>
        <w:gridCol w:w="1087"/>
        <w:gridCol w:w="1147"/>
        <w:gridCol w:w="1146"/>
        <w:gridCol w:w="1539"/>
        <w:gridCol w:w="905"/>
        <w:gridCol w:w="1136"/>
        <w:gridCol w:w="727"/>
        <w:gridCol w:w="1292"/>
      </w:tblGrid>
      <w:tr>
        <w:tblPrEx/>
        <w:trPr>
          <w:jc w:val="center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Дата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включения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Основание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включения</w:t>
            </w:r>
            <w:r>
              <w:rPr>
                <w:rStyle w:val="891"/>
                <w:rFonts w:ascii="Times New Roman" w:hAnsi="Times New Roman" w:eastAsia="Liberation Serif" w:cs="Times New Roman"/>
                <w:bCs/>
                <w:sz w:val="24"/>
                <w:szCs w:val="24"/>
              </w:rPr>
              <w:footnoteReference w:id="2"/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Дата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исключения</w:t>
            </w:r>
            <w:r>
              <w:rPr>
                <w:rStyle w:val="891"/>
                <w:rFonts w:ascii="Times New Roman" w:hAnsi="Times New Roman" w:eastAsia="Liberation Serif" w:cs="Times New Roman"/>
                <w:bCs/>
                <w:sz w:val="24"/>
                <w:szCs w:val="24"/>
              </w:rPr>
              <w:footnoteReference w:id="3"/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Основание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исключения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Фамилия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Имя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Отчество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Дата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рождения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Место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рождения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Адрес регистрации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(полный, 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указанием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индекса)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Адрес фактического проживания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(полный, 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указанием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индекса)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Серия 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номер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документа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Кем и когда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выдан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Должность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6066"/>
        <w:spacing w:after="0" w:line="277" w:lineRule="exact"/>
        <w:widowControl w:val="off"/>
        <w:tabs>
          <w:tab w:val="left" w:pos="425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eastAsia="Liberation Serif" w:cs="Times New Roman"/>
          <w:b/>
          <w:bCs/>
          <w:sz w:val="26"/>
          <w:szCs w:val="26"/>
        </w:rPr>
        <w:t xml:space="preserve">Юридические лица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left="6243"/>
        <w:spacing w:after="0" w:line="277" w:lineRule="exact"/>
        <w:widowControl w:val="o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W w:w="5000" w:type="pct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1682"/>
        <w:gridCol w:w="2016"/>
        <w:gridCol w:w="1823"/>
        <w:gridCol w:w="1820"/>
        <w:gridCol w:w="3027"/>
        <w:gridCol w:w="1246"/>
        <w:gridCol w:w="1315"/>
        <w:gridCol w:w="1631"/>
      </w:tblGrid>
      <w:tr>
        <w:tblPrEx/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2" w:type="dxa"/>
            <w:textDirection w:val="lrTb"/>
            <w:noWrap w:val="false"/>
          </w:tcPr>
          <w:p>
            <w:pPr>
              <w:ind w:left="463"/>
              <w:spacing w:after="0" w:line="318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Дата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left="107"/>
              <w:spacing w:after="0" w:line="27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включения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7" w:type="dxa"/>
            <w:textDirection w:val="lrTb"/>
            <w:noWrap w:val="false"/>
          </w:tcPr>
          <w:p>
            <w:pPr>
              <w:ind w:left="400"/>
              <w:spacing w:after="0" w:line="318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Основание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left="376"/>
              <w:spacing w:after="0" w:line="27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включения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24" w:type="dxa"/>
            <w:textDirection w:val="lrTb"/>
            <w:noWrap w:val="false"/>
          </w:tcPr>
          <w:p>
            <w:pPr>
              <w:ind w:left="520"/>
              <w:spacing w:after="0" w:line="318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Дата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left="107"/>
              <w:spacing w:after="0" w:line="27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исключения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21" w:type="dxa"/>
            <w:textDirection w:val="lrTb"/>
            <w:noWrap w:val="false"/>
          </w:tcPr>
          <w:p>
            <w:pPr>
              <w:ind w:left="187"/>
              <w:spacing w:after="0" w:line="318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Основание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left="105"/>
              <w:spacing w:after="0" w:line="27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исключения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29" w:type="dxa"/>
            <w:textDirection w:val="lrTb"/>
            <w:noWrap w:val="false"/>
          </w:tcPr>
          <w:p>
            <w:pPr>
              <w:ind w:left="343"/>
              <w:spacing w:after="0" w:line="318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Полное фирменное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left="602"/>
              <w:spacing w:after="0" w:line="27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наименование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7" w:type="dxa"/>
            <w:textDirection w:val="lrTb"/>
            <w:noWrap w:val="false"/>
          </w:tcPr>
          <w:p>
            <w:pPr>
              <w:ind w:left="429"/>
              <w:spacing w:after="0" w:line="45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ИНН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textDirection w:val="lrTb"/>
            <w:noWrap w:val="false"/>
          </w:tcPr>
          <w:p>
            <w:pPr>
              <w:ind w:left="372"/>
              <w:spacing w:after="0" w:line="45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ОГРН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2" w:type="dxa"/>
            <w:textDirection w:val="lrTb"/>
            <w:noWrap w:val="false"/>
          </w:tcPr>
          <w:p>
            <w:pPr>
              <w:ind w:left="669"/>
              <w:spacing w:after="0" w:line="455" w:lineRule="exac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4"/>
              </w:rPr>
              <w:t xml:space="preserve">Адрес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6838" w:h="11906" w:orient="landscape"/>
          <w:pgMar w:top="1134" w:right="1134" w:bottom="680" w:left="1134" w:header="709" w:footer="709" w:gutter="0"/>
          <w:cols w:num="1" w:sep="0" w:space="1701" w:equalWidth="1"/>
          <w:docGrid w:linePitch="360"/>
          <w:titlePg/>
        </w:sect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25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/>
      <w:bookmarkStart w:id="24" w:name="_Toc22"/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</w:t>
      </w:r>
      <w:bookmarkStart w:id="25" w:name="_Toc203641280"/>
      <w:r>
        <w:rPr>
          <w:rFonts w:ascii="Times New Roman" w:hAnsi="Times New Roman" w:cs="Times New Roman"/>
          <w:color w:val="auto"/>
          <w:sz w:val="22"/>
          <w:szCs w:val="22"/>
        </w:rPr>
        <w:t xml:space="preserve">Приложение 2</w:t>
      </w:r>
      <w:bookmarkEnd w:id="24"/>
      <w:r/>
      <w:bookmarkEnd w:id="25"/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953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Liberation Serif" w:cs="Times New Roman"/>
          <w:sz w:val="20"/>
          <w:szCs w:val="20"/>
        </w:rPr>
        <w:t xml:space="preserve">к Правилам внутреннего контроля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26" w:name="_Toc23"/>
      <w:r>
        <w:rPr>
          <w:rFonts w:ascii="Times New Roman" w:hAnsi="Times New Roman" w:eastAsia="Liberation Serif" w:cs="Times New Roman"/>
          <w:sz w:val="20"/>
          <w:szCs w:val="20"/>
        </w:rPr>
        <w:t xml:space="preserve">по предотвращению, выявлению и пресечению </w:t>
      </w:r>
      <w:bookmarkEnd w:id="26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27" w:name="_Toc24"/>
      <w:r>
        <w:rPr>
          <w:rFonts w:ascii="Times New Roman" w:hAnsi="Times New Roman" w:eastAsia="Liberation Serif" w:cs="Times New Roman"/>
          <w:sz w:val="20"/>
          <w:szCs w:val="20"/>
        </w:rPr>
        <w:t xml:space="preserve">неправомерного использования   инсайдерской </w:t>
      </w:r>
      <w:bookmarkEnd w:id="27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28" w:name="_Toc25"/>
      <w:r>
        <w:rPr>
          <w:rFonts w:ascii="Times New Roman" w:hAnsi="Times New Roman" w:eastAsia="Liberation Serif" w:cs="Times New Roman"/>
          <w:sz w:val="20"/>
          <w:szCs w:val="20"/>
        </w:rPr>
        <w:t xml:space="preserve">информации и (или) манипулирования рынком </w:t>
      </w:r>
      <w:bookmarkEnd w:id="28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eastAsia="Liberation Serif" w:cs="Times New Roman"/>
          <w:sz w:val="28"/>
          <w:szCs w:val="28"/>
        </w:rPr>
        <w:outlineLvl w:val="4"/>
      </w:pPr>
      <w:r/>
      <w:bookmarkStart w:id="29" w:name="_Toc26"/>
      <w:r>
        <w:rPr>
          <w:rFonts w:ascii="Times New Roman" w:hAnsi="Times New Roman" w:eastAsia="Liberation Serif" w:cs="Times New Roman"/>
          <w:sz w:val="20"/>
          <w:szCs w:val="20"/>
        </w:rPr>
        <w:t xml:space="preserve">ПАО «Саратовэнерго»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</w:t>
      </w:r>
      <w:bookmarkEnd w:id="29"/>
      <w:r>
        <w:rPr>
          <w:rFonts w:ascii="Times New Roman" w:hAnsi="Times New Roman" w:eastAsia="Liberation Serif" w:cs="Times New Roman"/>
          <w:sz w:val="28"/>
          <w:szCs w:val="28"/>
        </w:rPr>
      </w:r>
      <w:r>
        <w:rPr>
          <w:rFonts w:ascii="Times New Roman" w:hAnsi="Times New Roman" w:eastAsia="Liberation Serif" w:cs="Times New Roman"/>
          <w:sz w:val="28"/>
          <w:szCs w:val="28"/>
        </w:rPr>
      </w:r>
    </w:p>
    <w:p>
      <w:pPr>
        <w:jc w:val="center"/>
        <w:spacing w:before="170" w:after="170" w:line="57" w:lineRule="atLeast"/>
        <w:rPr>
          <w:rFonts w:ascii="Times New Roman" w:hAnsi="Times New Roman" w:eastAsia="Liberation Serif" w:cs="Times New Roman"/>
          <w:b/>
        </w:rPr>
      </w:pPr>
      <w:r>
        <w:rPr>
          <w:rFonts w:ascii="Times New Roman" w:hAnsi="Times New Roman" w:eastAsia="Liberation Serif" w:cs="Times New Roman"/>
          <w:b/>
        </w:rPr>
        <w:t xml:space="preserve">УВЕДОМЛЕНИЕ</w:t>
      </w:r>
      <w:r>
        <w:rPr>
          <w:rFonts w:ascii="Times New Roman" w:hAnsi="Times New Roman" w:eastAsia="Liberation Serif" w:cs="Times New Roman"/>
          <w:b/>
        </w:rPr>
      </w:r>
      <w:r>
        <w:rPr>
          <w:rFonts w:ascii="Times New Roman" w:hAnsi="Times New Roman" w:eastAsia="Liberation Serif" w:cs="Times New Roman"/>
          <w:b/>
        </w:rPr>
      </w:r>
    </w:p>
    <w:p>
      <w:pPr>
        <w:jc w:val="center"/>
        <w:spacing w:before="170" w:after="170" w:line="57" w:lineRule="atLeast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b/>
        </w:rPr>
        <w:t xml:space="preserve"> о включении лица в список инсайдеров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006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3"/>
        <w:gridCol w:w="4098"/>
        <w:gridCol w:w="550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600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18"/>
              </w:rPr>
              <w:t xml:space="preserve">Сведения об уведомлении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1.1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Порядковый номер и дата составления уведомления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600" w:type="dxa"/>
            <w:textDirection w:val="lrTb"/>
            <w:noWrap w:val="false"/>
          </w:tcPr>
          <w:p>
            <w:pPr>
              <w:ind w:left="57"/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18"/>
              </w:rPr>
              <w:t xml:space="preserve">Сведения в отношении уведомляющего лица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Полное фирменное наименование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ИНН Организации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ОГРН Организации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Место нахождения и (или) адрес для направления почтовой корреспонденции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Адрес сайта в информационно- телекоммуникационной сети "Интернет" (при наличии)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Номер контактного телефона и (или) адрес электронной почты для обращений инсайдеров (лиц, исключенных из списка)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Номер пункта статьи 4 Федерального закона от 27 июля 2010 года N 224-ФЗ, относящий уведомляющее лицо к инсайдерам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600" w:type="dxa"/>
            <w:textDirection w:val="lrTb"/>
            <w:noWrap w:val="false"/>
          </w:tcPr>
          <w:p>
            <w:pPr>
              <w:ind w:left="57"/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18"/>
              </w:rPr>
              <w:t xml:space="preserve">Сведения в отношении инсайдера (лица, исключенного из списка)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Фамилия, имя, отчество инсайдера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Дата рождения инсайдера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Место рождения инсайдера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Должность, которую инсайдер (лицо, исключенное из списка</w:t>
            </w:r>
            <w:r>
              <w:rPr>
                <w:rFonts w:ascii="Times New Roman" w:hAnsi="Times New Roman" w:eastAsia="Liberation Serif" w:cs="Times New Roman"/>
                <w:sz w:val="18"/>
              </w:rPr>
              <w:t xml:space="preserve">)</w:t>
            </w:r>
            <w:r>
              <w:rPr>
                <w:rFonts w:ascii="Times New Roman" w:hAnsi="Times New Roman" w:eastAsia="Liberation Serif" w:cs="Times New Roman"/>
                <w:sz w:val="18"/>
              </w:rPr>
              <w:t xml:space="preserve"> занимает в уведомляющем лице (при наличии)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Информация о включении инсайдера в список (исключении лица, исключенного из списка, из списка) и дате такого включения (исключения)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Основание для включения инсайдера в список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Финансовый инструмент, иностранная валюта и (или) товар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20"/>
        <w:jc w:val="both"/>
        <w:spacing w:before="120" w:after="120" w:line="57" w:lineRule="atLeast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18"/>
        </w:rPr>
        <w:t xml:space="preserve">Обращаем Ваше внимание, что с момента внесения лица в список инсайдеров Организации в отношении дан</w:t>
      </w:r>
      <w:r>
        <w:rPr>
          <w:rFonts w:ascii="Times New Roman" w:hAnsi="Times New Roman" w:eastAsia="Liberation Serif" w:cs="Times New Roman"/>
          <w:sz w:val="18"/>
        </w:rPr>
        <w:t xml:space="preserve">ного лица, как инсайдера, вводятся ограничения, предусмотренные статьей 6 Федерального закона от 27 июля 2010 г. № 224-ФЗ. «О противодействии неправомерному использованию инсайдерской информации и манипулированию рынком и о внесении изменений в отдельные з</w:t>
      </w:r>
      <w:r>
        <w:rPr>
          <w:rFonts w:ascii="Times New Roman" w:hAnsi="Times New Roman" w:eastAsia="Liberation Serif" w:cs="Times New Roman"/>
          <w:sz w:val="18"/>
        </w:rPr>
        <w:t xml:space="preserve">аконодательные акты Российской федерации» (далее – Федеральный закон), определена ответственность в соответствии со статьей 7 Федерального закона, и на такое лицо возлагаются обязанности, предусмотренные статьей 10 и частью 4 статьи 11 Федерального закона.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006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5"/>
        <w:gridCol w:w="29"/>
        <w:gridCol w:w="1839"/>
        <w:gridCol w:w="5300"/>
      </w:tblGrid>
      <w:tr>
        <w:tblPrEx/>
        <w:trPr/>
        <w:tc>
          <w:tcPr>
            <w:gridSpan w:val="2"/>
            <w:tcBorders>
              <w:top w:val="single" w:color="000000" w:sz="6" w:space="0"/>
            </w:tcBorders>
            <w:tcW w:w="2924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(инициалы, фамилия)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</w:tcBorders>
            <w:tcW w:w="7139" w:type="dxa"/>
            <w:textDirection w:val="lrTb"/>
            <w:noWrap w:val="false"/>
          </w:tcPr>
          <w:p>
            <w:pPr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2924" w:type="dxa"/>
            <w:vAlign w:val="bottom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39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6" w:space="0"/>
            </w:tcBorders>
            <w:tcW w:w="5300" w:type="dxa"/>
            <w:vAlign w:val="bottom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2924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(подпись)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39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</w:tcBorders>
            <w:tcW w:w="5300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(наименование должности, дата подписи)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</w:tcBorders>
            <w:tcW w:w="2895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Уведомление получено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(подпись)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W w:w="7168" w:type="dxa"/>
            <w:textDirection w:val="lrTb"/>
            <w:noWrap w:val="false"/>
          </w:tcPr>
          <w:p>
            <w:pPr>
              <w:spacing w:after="0" w:line="276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</w:tc>
      </w:tr>
    </w:tbl>
    <w:p>
      <w:pPr>
        <w:pStyle w:val="925"/>
        <w:rPr>
          <w:rFonts w:ascii="Times New Roman" w:hAnsi="Times New Roman" w:cs="Times New Roman"/>
          <w:color w:val="auto"/>
          <w:sz w:val="22"/>
          <w:szCs w:val="22"/>
        </w:rPr>
      </w:pPr>
      <w:r/>
      <w:bookmarkStart w:id="30" w:name="_Toc27"/>
      <w:r>
        <w:rPr>
          <w:rFonts w:ascii="Times New Roman" w:hAnsi="Times New Roman" w:cs="Times New Roman"/>
          <w:color w:val="auto"/>
        </w:rPr>
        <w:br w:type="page" w:clear="all"/>
      </w:r>
      <w:r>
        <w:rPr>
          <w:rFonts w:ascii="Times New Roman" w:hAnsi="Times New Roman" w:cs="Times New Roman"/>
          <w:color w:val="auto"/>
        </w:rPr>
        <w:t xml:space="preserve">                                              </w:t>
      </w:r>
      <w:bookmarkStart w:id="31" w:name="_Toc203641281"/>
      <w:r>
        <w:rPr>
          <w:rFonts w:ascii="Times New Roman" w:hAnsi="Times New Roman" w:cs="Times New Roman"/>
          <w:color w:val="auto"/>
          <w:sz w:val="22"/>
          <w:szCs w:val="22"/>
        </w:rPr>
        <w:t xml:space="preserve">Приложение 3</w:t>
      </w:r>
      <w:bookmarkEnd w:id="30"/>
      <w:r/>
      <w:bookmarkEnd w:id="31"/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953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Liberation Serif" w:cs="Times New Roman"/>
          <w:sz w:val="20"/>
          <w:szCs w:val="20"/>
        </w:rPr>
        <w:t xml:space="preserve">к Правилам внутреннего контроля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32" w:name="_Toc28"/>
      <w:r>
        <w:rPr>
          <w:rFonts w:ascii="Times New Roman" w:hAnsi="Times New Roman" w:eastAsia="Liberation Serif" w:cs="Times New Roman"/>
          <w:sz w:val="20"/>
          <w:szCs w:val="20"/>
        </w:rPr>
        <w:t xml:space="preserve">по предотвращению, выявлению и пресечению </w:t>
      </w:r>
      <w:bookmarkEnd w:id="32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33" w:name="_Toc29"/>
      <w:r>
        <w:rPr>
          <w:rFonts w:ascii="Times New Roman" w:hAnsi="Times New Roman" w:eastAsia="Liberation Serif" w:cs="Times New Roman"/>
          <w:sz w:val="20"/>
          <w:szCs w:val="20"/>
        </w:rPr>
        <w:t xml:space="preserve">неправомерного использования   инсайдерской </w:t>
      </w:r>
      <w:bookmarkEnd w:id="33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4"/>
      </w:pPr>
      <w:r/>
      <w:bookmarkStart w:id="34" w:name="_Toc30"/>
      <w:r>
        <w:rPr>
          <w:rFonts w:ascii="Times New Roman" w:hAnsi="Times New Roman" w:eastAsia="Liberation Serif" w:cs="Times New Roman"/>
          <w:sz w:val="20"/>
          <w:szCs w:val="20"/>
        </w:rPr>
        <w:t xml:space="preserve">информации и (или) манипулирования рынком </w:t>
      </w:r>
      <w:bookmarkEnd w:id="34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5953"/>
        <w:spacing w:after="0" w:line="240" w:lineRule="auto"/>
        <w:widowControl w:val="off"/>
        <w:rPr>
          <w:rFonts w:ascii="Times New Roman" w:hAnsi="Times New Roman" w:cs="Times New Roman"/>
        </w:rPr>
        <w:outlineLvl w:val="4"/>
      </w:pPr>
      <w:r/>
      <w:bookmarkStart w:id="35" w:name="_Toc31"/>
      <w:r>
        <w:rPr>
          <w:rFonts w:ascii="Times New Roman" w:hAnsi="Times New Roman" w:eastAsia="Liberation Serif" w:cs="Times New Roman"/>
          <w:sz w:val="20"/>
          <w:szCs w:val="20"/>
        </w:rPr>
        <w:t xml:space="preserve"> ПАО «Саратовэнерго»</w:t>
      </w:r>
      <w:bookmarkEnd w:id="35"/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</w:rPr>
        <w:outlineLvl w:val="4"/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after="113" w:line="57" w:lineRule="atLeast"/>
        <w:rPr>
          <w:rFonts w:ascii="Times New Roman" w:hAnsi="Times New Roman" w:eastAsia="Liberation Serif" w:cs="Times New Roman"/>
          <w:b/>
        </w:rPr>
      </w:pPr>
      <w:r>
        <w:rPr>
          <w:rFonts w:ascii="Times New Roman" w:hAnsi="Times New Roman" w:eastAsia="Liberation Serif" w:cs="Times New Roman"/>
          <w:b/>
        </w:rPr>
        <w:t xml:space="preserve">УВЕДОМЛЕНИЕ</w:t>
      </w:r>
      <w:r>
        <w:rPr>
          <w:rFonts w:ascii="Times New Roman" w:hAnsi="Times New Roman" w:eastAsia="Liberation Serif" w:cs="Times New Roman"/>
          <w:b/>
        </w:rPr>
      </w:r>
      <w:r>
        <w:rPr>
          <w:rFonts w:ascii="Times New Roman" w:hAnsi="Times New Roman" w:eastAsia="Liberation Serif" w:cs="Times New Roman"/>
          <w:b/>
        </w:rPr>
      </w:r>
    </w:p>
    <w:p>
      <w:pPr>
        <w:jc w:val="center"/>
        <w:spacing w:after="113" w:line="57" w:lineRule="atLeast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b/>
        </w:rPr>
        <w:t xml:space="preserve"> об исключении лица из списка инсайдеров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006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3"/>
        <w:gridCol w:w="4098"/>
        <w:gridCol w:w="550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600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18"/>
              </w:rPr>
              <w:t xml:space="preserve">Сведения об уведомлении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1.1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Порядковый номер и дата составления уведомления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600" w:type="dxa"/>
            <w:textDirection w:val="lrTb"/>
            <w:noWrap w:val="false"/>
          </w:tcPr>
          <w:p>
            <w:pPr>
              <w:ind w:left="57"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18"/>
              </w:rPr>
              <w:t xml:space="preserve">Сведения в отношении уведомляющего лица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Полное фирменное наименование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ИНН Организации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ОГРН Организации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Место нахождения и (или) адрес для направления почтовой корреспонденции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Адрес сайта в информационно-телекоммуникационной сети "Интернет" (при наличии)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Номер контактного телефона и (или) адрес электронной почты для обращений инсайдеров (лиц, исключенных из списка)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2.7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Номер пункта статьи 4 Федерального закона от 27 июля 2010 года N 224-ФЗ, относящий уведомляющее лицо к инсайдерам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600" w:type="dxa"/>
            <w:textDirection w:val="lrTb"/>
            <w:noWrap w:val="false"/>
          </w:tcPr>
          <w:p>
            <w:pPr>
              <w:ind w:left="57"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b/>
                <w:sz w:val="18"/>
              </w:rPr>
              <w:t xml:space="preserve">Сведения в отношении инсайдера (лица, исключенного из списка)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Фамилия, имя, отчество инсайдера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Дата рождения инсайдера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Место рождения инсайдера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Должность, которую инсайдер (лицо, исключенное из списка</w:t>
            </w:r>
            <w:r>
              <w:rPr>
                <w:rFonts w:ascii="Times New Roman" w:hAnsi="Times New Roman" w:eastAsia="Liberation Serif" w:cs="Times New Roman"/>
                <w:sz w:val="18"/>
              </w:rPr>
              <w:t xml:space="preserve">)</w:t>
            </w:r>
            <w:r>
              <w:rPr>
                <w:rFonts w:ascii="Times New Roman" w:hAnsi="Times New Roman" w:eastAsia="Liberation Serif" w:cs="Times New Roman"/>
                <w:sz w:val="18"/>
              </w:rPr>
              <w:t xml:space="preserve"> занимает в уведомляющем лице (при наличии)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3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Информация о включении инсайдера в список (исключении лица, исключенного из списка, из списка) и дате такого включения (исключения)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Основание для включения инсайдера в список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ind w:left="57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Основание, в силу которого инсайдер (лицо, исключенное из списка) перестал соответствовать положениям </w:t>
            </w:r>
            <w:hyperlink r:id="rId12" w:tooltip="consultantplus://offline/ref=2B70F4A297CDB716C9D486DADE54556F0D870A47E7BA8A028837B60814A38A57864AA2FEA1D3B73BB064938559F65D3BA7A94488F43CCFFBR0IBO" w:history="1">
              <w:r>
                <w:rPr>
                  <w:rStyle w:val="888"/>
                  <w:rFonts w:ascii="Times New Roman" w:hAnsi="Times New Roman" w:eastAsia="Liberation Serif" w:cs="Times New Roman"/>
                  <w:color w:val="auto"/>
                  <w:sz w:val="18"/>
                </w:rPr>
                <w:t xml:space="preserve">статьи 4</w:t>
              </w:r>
            </w:hyperlink>
            <w:r>
              <w:rPr>
                <w:rFonts w:ascii="Times New Roman" w:hAnsi="Times New Roman" w:eastAsia="Liberation Serif" w:cs="Times New Roman"/>
                <w:sz w:val="18"/>
              </w:rPr>
              <w:t xml:space="preserve">Федерального закона от 27 июля 2010 года N 224-ФЗ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3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3.8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98" w:type="dxa"/>
            <w:textDirection w:val="lrTb"/>
            <w:noWrap w:val="false"/>
          </w:tcPr>
          <w:p>
            <w:pPr>
              <w:ind w:left="57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Финансовый инструмент, иностранная валюта и (или) товар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20"/>
        <w:jc w:val="both"/>
        <w:spacing w:before="113" w:after="0" w:line="57" w:lineRule="atLeast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18"/>
        </w:rPr>
        <w:t xml:space="preserve">Обращаем Ваше внимание, что с момента внесения лица в спис</w:t>
      </w:r>
      <w:r>
        <w:rPr>
          <w:rFonts w:ascii="Times New Roman" w:hAnsi="Times New Roman" w:eastAsia="Liberation Serif" w:cs="Times New Roman"/>
          <w:sz w:val="18"/>
        </w:rPr>
        <w:t xml:space="preserve">ок инсайдеров Организации в отношении данного лица, как инсайдера, вводятся ограничения, предусмотренные статьей 6 Федерального закона от 27 июля 2010 г. № 224-ФЗ. «О противодействии неправомерному использованию инсайдерской информации и манипулированию ры</w:t>
      </w:r>
      <w:r>
        <w:rPr>
          <w:rFonts w:ascii="Times New Roman" w:hAnsi="Times New Roman" w:eastAsia="Liberation Serif" w:cs="Times New Roman"/>
          <w:sz w:val="18"/>
        </w:rPr>
        <w:t xml:space="preserve">нком и о внесении изменений в отдельные законодательные акты Российской федерации» (далее – Федеральный закон), определена ответственность в соответствии со статьей 7 Федерального закона, и на такое лицо возлагаются обязанности, предусмотренные статьей 10.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006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5"/>
        <w:gridCol w:w="55"/>
        <w:gridCol w:w="1828"/>
        <w:gridCol w:w="5285"/>
      </w:tblGrid>
      <w:tr>
        <w:tblPrEx/>
        <w:trPr/>
        <w:tc>
          <w:tcPr>
            <w:gridSpan w:val="4"/>
            <w:tcBorders>
              <w:bottom w:val="single" w:color="000000" w:sz="6" w:space="0"/>
            </w:tcBorders>
            <w:tcW w:w="100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6" w:space="0"/>
            </w:tcBorders>
            <w:tcW w:w="10063" w:type="dxa"/>
            <w:textDirection w:val="lrTb"/>
            <w:noWrap w:val="false"/>
          </w:tcPr>
          <w:p>
            <w:pPr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                (инициалы, фамилия)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000000" w:sz="6" w:space="0"/>
            </w:tcBorders>
            <w:tcW w:w="2950" w:type="dxa"/>
            <w:vAlign w:val="bottom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28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6" w:space="0"/>
            </w:tcBorders>
            <w:tcW w:w="5285" w:type="dxa"/>
            <w:vAlign w:val="bottom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</w:tcBorders>
            <w:tcW w:w="2950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(подпись)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28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</w:tcBorders>
            <w:tcW w:w="5285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(наименование должности, дата подписи)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</w:tcBorders>
            <w:tcW w:w="2895" w:type="dxa"/>
            <w:textDirection w:val="lrTb"/>
            <w:noWrap w:val="false"/>
          </w:tcPr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Уведомление получено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Liberation Serif" w:cs="Times New Roman"/>
                <w:sz w:val="18"/>
              </w:rPr>
              <w:t xml:space="preserve">(подпись)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3"/>
            <w:tcW w:w="7168" w:type="dxa"/>
            <w:textDirection w:val="lrTb"/>
            <w:noWrap w:val="false"/>
          </w:tcPr>
          <w:p>
            <w:pPr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76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pStyle w:val="925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 </w:t>
      </w:r>
      <w:bookmarkStart w:id="36" w:name="_Toc203641282"/>
      <w:r>
        <w:rPr>
          <w:rFonts w:ascii="Times New Roman" w:hAnsi="Times New Roman" w:cs="Times New Roman"/>
          <w:color w:val="auto"/>
          <w:sz w:val="22"/>
          <w:szCs w:val="22"/>
        </w:rPr>
        <w:t xml:space="preserve">Приложение 4</w:t>
      </w:r>
      <w:bookmarkEnd w:id="36"/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left="5954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Liberation Serif" w:cs="Times New Roman"/>
          <w:sz w:val="20"/>
          <w:szCs w:val="20"/>
        </w:rPr>
        <w:t xml:space="preserve">к Правилам внутреннего контроля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contextualSpacing/>
        <w:ind w:left="5954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Liberation Serif" w:cs="Times New Roman"/>
          <w:sz w:val="20"/>
          <w:szCs w:val="20"/>
        </w:rPr>
        <w:t xml:space="preserve">по предотвращению, выявлению и пресечению неправомерного использования   инсайдерской информации и (или) манипулирования </w:t>
      </w:r>
      <w:r>
        <w:rPr>
          <w:rFonts w:ascii="Times New Roman" w:hAnsi="Times New Roman" w:eastAsia="Liberation Serif" w:cs="Times New Roman"/>
          <w:sz w:val="20"/>
          <w:szCs w:val="20"/>
        </w:rPr>
        <w:t xml:space="preserve">рынком  ПАО</w:t>
      </w:r>
      <w:r>
        <w:rPr>
          <w:rFonts w:ascii="Times New Roman" w:hAnsi="Times New Roman" w:eastAsia="Liberation Serif" w:cs="Times New Roman"/>
          <w:sz w:val="20"/>
          <w:szCs w:val="20"/>
        </w:rPr>
        <w:t xml:space="preserve"> «Саратовэнерго» </w:t>
      </w:r>
      <w:r>
        <w:rPr>
          <w:rFonts w:ascii="Times New Roman" w:hAnsi="Times New Roman" w:eastAsia="Liberation Serif" w:cs="Times New Roman"/>
        </w:rPr>
        <w:t xml:space="preserve"> </w:t>
      </w:r>
      <w:r>
        <w:rPr>
          <w:rFonts w:ascii="Times New Roman" w:hAnsi="Times New Roman" w:eastAsia="Liberation Serif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contextualSpacing/>
        <w:ind w:left="411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Liberation Serif" w:cs="Times New Roman"/>
          <w:b/>
          <w:bCs/>
          <w:sz w:val="20"/>
          <w:szCs w:val="20"/>
        </w:rPr>
        <w:t xml:space="preserve">Уведомление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9"/>
        <w:jc w:val="center"/>
        <w:spacing w:after="28" w:line="240" w:lineRule="auto"/>
        <w:widowControl w:val="o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Liberation Serif" w:cs="Times New Roman"/>
          <w:b/>
          <w:bCs/>
          <w:sz w:val="20"/>
          <w:szCs w:val="20"/>
        </w:rPr>
        <w:t xml:space="preserve">о совершении инсайдером операции с финансовым инструментом и (или) товаром ПАО «Саратовэнерго»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W w:w="9670" w:type="dxa"/>
        <w:tblInd w:w="5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6803"/>
        <w:gridCol w:w="2867"/>
      </w:tblGrid>
      <w:tr>
        <w:tblPrEx/>
        <w:trPr>
          <w:trHeight w:val="570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1. Ф.И.О. инсайдера – физического лица / Полное фирменное наименование инсайдера – юридического 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516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2. Вид и реквизиты документа, удостоверяющего личность инсайдера – физического лица / ИНН, ОГРН инсайдера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юридического 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82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3. Место регистрации инсайдера – физического лица / Место нахождения инсайдера – юридического 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332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4. Полное фирменное наименование лица, в список инсайдеров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которого включен инсайдер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9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5. Дата совершения операции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257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6. Вид сделки (операции)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255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7. Сумма сделки (операции)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323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8. Место заключения сделки (наименование организатора торговли или внебиржевой рынок)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76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9. Вид, категория (тип), серия ценной бумаги (указывается для сделок с ценными бумагами)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82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10. Полное фирменное наименование эмитента ценной бумаги (указывается для сделок с ценными бумагами)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88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11. Государственный регистрационный номер выпуска ценной бумаги (указывается для сделок с ценными бумагами)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93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9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12. Цена одной ценной бумаги (указывается для всех сделок с ценными бумагами, кроме сделок </w:t>
            </w: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репо</w:t>
            </w: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88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13. Цена покупки и продажи одной ценной бумаги по договору </w:t>
            </w: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репо</w:t>
            </w: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 (для договоров </w:t>
            </w: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репо</w:t>
            </w: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37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14. Количество ценных бумаг (указывается для сделок с ценными бумагами)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5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15. Вид договора, являющегося производным финансовым инструментом (указывается для сделок с производными финансовыми инструментами)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964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16. Наименование (обозначение) договора, являющегося производным финансовым инструментом, принятое у организатора торговли на рынке ценных бумаг (указывается для сделок с производными финансовыми инструментами)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765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17. Цена одного договора, являющегося производным финансовым инструментом (размер премии по опциону) (указывается для сделок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с производными финансовыми инструментами)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4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743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18. Количество договоров, являющихся производными финансовыми инструментами (указывается для сделок 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производными финансовыми инструментами)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58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19. Цена исполнения договора, являющегося производным финансовым инструментом (указывается для сделок с производными финансовыми инструментами)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7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238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20. Вид валюты (указывается для операций с валютой)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312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21. Вид товара (указывается для операций с товаром)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267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22. Количество товара (указывается для операций с товаром)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28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03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18"/>
                <w:szCs w:val="18"/>
                <w:lang w:eastAsia="ru-RU"/>
              </w:rPr>
              <w:t xml:space="preserve">23. Цена за единицу товара (указывается для операций с товаром)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7" w:type="dxa"/>
            <w:textDirection w:val="lrTb"/>
            <w:noWrap w:val="false"/>
          </w:tcPr>
          <w:p>
            <w:pPr>
              <w:ind w:left="28"/>
              <w:spacing w:after="0" w:line="246" w:lineRule="exac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tbl>
      <w:tblPr>
        <w:tblpPr w:horzAnchor="margin" w:tblpXSpec="left" w:vertAnchor="text" w:tblpY="158" w:leftFromText="180" w:topFromText="0" w:rightFromText="180" w:bottomFromText="0"/>
        <w:tblW w:w="4775" w:type="pct"/>
        <w:tblLayout w:type="fixed"/>
        <w:tblLook w:val="04A0" w:firstRow="1" w:lastRow="0" w:firstColumn="1" w:lastColumn="0" w:noHBand="0" w:noVBand="1"/>
      </w:tblPr>
      <w:tblGrid>
        <w:gridCol w:w="3987"/>
        <w:gridCol w:w="2393"/>
        <w:gridCol w:w="3258"/>
      </w:tblGrid>
      <w:tr>
        <w:tblPrEx/>
        <w:trPr/>
        <w:tc>
          <w:tcPr>
            <w:tcW w:w="39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8"/>
              </w:rPr>
              <w:t xml:space="preserve">___________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eastAsia="Liberation Serif" w:cs="Times New Roman"/>
                <w:bCs/>
                <w:sz w:val="20"/>
                <w:szCs w:val="28"/>
              </w:rPr>
              <w:t xml:space="preserve">(дата)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8"/>
              </w:rPr>
              <w:t xml:space="preserve">_____________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eastAsia="Liberation Serif" w:cs="Times New Roman"/>
                <w:bCs/>
                <w:sz w:val="20"/>
                <w:szCs w:val="28"/>
              </w:rPr>
              <w:t xml:space="preserve">(подпись)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</w:p>
        </w:tc>
        <w:tc>
          <w:tcPr>
            <w:tcW w:w="32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eastAsia="Liberation Serif" w:cs="Times New Roman"/>
                <w:bCs/>
                <w:sz w:val="24"/>
                <w:szCs w:val="28"/>
              </w:rPr>
              <w:t xml:space="preserve">_____________________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eastAsia="Liberation Serif" w:cs="Times New Roman"/>
                <w:bCs/>
                <w:sz w:val="20"/>
                <w:szCs w:val="28"/>
              </w:rPr>
              <w:t xml:space="preserve">(расшифровка подписи)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footnotePr/>
      <w:endnotePr/>
      <w:type w:val="nextPage"/>
      <w:pgSz w:w="11906" w:h="16838" w:orient="portrait"/>
      <w:pgMar w:top="1134" w:right="680" w:bottom="1134" w:left="1134" w:header="0" w:footer="709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Noto Sans Devanagari">
    <w:panose1 w:val="020B0502040504020204"/>
  </w:font>
  <w:font w:name="Liberation Serif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2517123"/>
      <w:docPartObj>
        <w:docPartGallery w:val="Page Numbers (Bottom of Page)"/>
        <w:docPartUnique w:val="true"/>
      </w:docPartObj>
      <w:rPr/>
    </w:sdtPr>
    <w:sdtContent>
      <w:p>
        <w:pPr>
          <w:pStyle w:val="908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/>
      </w:p>
    </w:sdtContent>
  </w:sdt>
  <w:p>
    <w:pPr>
      <w:pStyle w:val="90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widowControl w:val="off"/>
        <w:rPr>
          <w:rFonts w:ascii="Times New Roman" w:hAnsi="Times New Roman" w:cs="Times New Roman"/>
        </w:rPr>
      </w:pPr>
      <w:r>
        <w:rPr>
          <w:rStyle w:val="890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Указывается номер пункта статьи 4 Закона, а также основание включения в список инсайдеров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</w:footnote>
  <w:footnote w:id="3">
    <w:p>
      <w:r>
        <w:rPr>
          <w:rStyle w:val="890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Указывается номер пункта статьи 4 Закона, а также основание исключения из списка инсайдеров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432"/>
        <w:tabs>
          <w:tab w:val="num" w:pos="0" w:leader="none"/>
        </w:tabs>
      </w:pPr>
      <w:rPr>
        <w:rFonts w:ascii="Liberation Serif" w:hAnsi="Liberation Serif" w:eastAsia="Liberation Serif" w:cs="Liberation Serif"/>
        <w:b w:val="0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853" w:hanging="576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997" w:hanging="720"/>
        <w:tabs>
          <w:tab w:val="num" w:pos="0" w:leader="none"/>
        </w:tabs>
      </w:pPr>
    </w:lvl>
    <w:lvl w:ilvl="3">
      <w:start w:val="1"/>
      <w:numFmt w:val="decimal"/>
      <w:pStyle w:val="737"/>
      <w:isLgl w:val="false"/>
      <w:suff w:val="tab"/>
      <w:lvlText w:val="%1.%2.%3.%4."/>
      <w:lvlJc w:val="left"/>
      <w:pPr>
        <w:ind w:left="1141" w:hanging="864"/>
        <w:tabs>
          <w:tab w:val="num" w:pos="0" w:leader="none"/>
        </w:tabs>
      </w:pPr>
    </w:lvl>
    <w:lvl w:ilvl="4">
      <w:start w:val="1"/>
      <w:numFmt w:val="decimal"/>
      <w:pStyle w:val="738"/>
      <w:isLgl w:val="false"/>
      <w:suff w:val="tab"/>
      <w:lvlText w:val="%1.%2.%3.%4.%5."/>
      <w:lvlJc w:val="left"/>
      <w:pPr>
        <w:ind w:left="1285" w:hanging="1008"/>
        <w:tabs>
          <w:tab w:val="num" w:pos="0" w:leader="none"/>
        </w:tabs>
      </w:pPr>
    </w:lvl>
    <w:lvl w:ilvl="5">
      <w:start w:val="1"/>
      <w:numFmt w:val="decimal"/>
      <w:pStyle w:val="739"/>
      <w:isLgl w:val="false"/>
      <w:suff w:val="tab"/>
      <w:lvlText w:val="%1.%2.%3.%4.%5.%6."/>
      <w:lvlJc w:val="left"/>
      <w:pPr>
        <w:ind w:left="1429" w:hanging="1152"/>
        <w:tabs>
          <w:tab w:val="num" w:pos="0" w:leader="none"/>
        </w:tabs>
      </w:pPr>
    </w:lvl>
    <w:lvl w:ilvl="6">
      <w:start w:val="1"/>
      <w:numFmt w:val="decimal"/>
      <w:pStyle w:val="740"/>
      <w:isLgl w:val="false"/>
      <w:suff w:val="tab"/>
      <w:lvlText w:val="%1.%2.%3.%4.%5.%6.%7."/>
      <w:lvlJc w:val="left"/>
      <w:pPr>
        <w:ind w:left="1573" w:hanging="1296"/>
        <w:tabs>
          <w:tab w:val="num" w:pos="0" w:leader="none"/>
        </w:tabs>
      </w:pPr>
    </w:lvl>
    <w:lvl w:ilvl="7">
      <w:start w:val="1"/>
      <w:numFmt w:val="decimal"/>
      <w:pStyle w:val="741"/>
      <w:isLgl w:val="false"/>
      <w:suff w:val="tab"/>
      <w:lvlText w:val="%1.%2.%3.%4.%5.%6.%7.%8."/>
      <w:lvlJc w:val="left"/>
      <w:pPr>
        <w:ind w:left="1717" w:hanging="1440"/>
        <w:tabs>
          <w:tab w:val="num" w:pos="0" w:leader="none"/>
        </w:tabs>
      </w:pPr>
    </w:lvl>
    <w:lvl w:ilvl="8">
      <w:start w:val="1"/>
      <w:numFmt w:val="decimal"/>
      <w:pStyle w:val="742"/>
      <w:isLgl w:val="false"/>
      <w:suff w:val="tab"/>
      <w:lvlText w:val="%1.%2.%3.%4.%5.%6.%7.%8.%9."/>
      <w:lvlJc w:val="left"/>
      <w:pPr>
        <w:ind w:left="1861" w:hanging="1584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50" w:hanging="45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  <w:tabs>
          <w:tab w:val="num" w:pos="-218" w:leader="none"/>
        </w:tabs>
      </w:pPr>
      <w:rPr>
        <w:rFonts w:hint="default" w:ascii="Times New Roman" w:hAnsi="Times New Roman" w:cs="Times New Roman"/>
        <w:b w:val="0"/>
        <w:i w:val="0"/>
        <w:strike w:val="0"/>
        <w:sz w:val="28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1141" w:hanging="432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573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077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81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085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589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093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69" w:hanging="1440"/>
        <w:tabs>
          <w:tab w:val="num" w:pos="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  <w:tabs>
          <w:tab w:val="num" w:pos="0" w:leader="none"/>
        </w:tabs>
      </w:pPr>
      <w:rPr>
        <w:rFonts w:ascii="Liberation Serif" w:hAnsi="Liberation Serif"/>
        <w:sz w:val="28"/>
        <w:szCs w:val="28"/>
        <w:highlight w:val="white"/>
        <w:lang w:val="ru-RU" w:eastAsia="en-US" w:bidi="ar-SA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  <w:tabs>
          <w:tab w:val="num" w:pos="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12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  <w:tabs>
          <w:tab w:val="num" w:pos="0" w:leader="none"/>
        </w:tabs>
      </w:pPr>
      <w:rPr>
        <w:rFonts w:hint="default" w:ascii="Times New Roman" w:hAnsi="Times New Roman" w:cs="Times New Roman"/>
        <w:b/>
        <w:sz w:val="28"/>
        <w:szCs w:val="28"/>
        <w:highlight w:val="white"/>
        <w:lang w:val="ru-RU" w:eastAsia="en-US" w:bidi="ar-SA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  <w:tabs>
          <w:tab w:val="num" w:pos="0" w:leader="none"/>
        </w:tabs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2"/>
  </w:num>
  <w:num w:numId="5">
    <w:abstractNumId w:val="10"/>
  </w:num>
  <w:num w:numId="6">
    <w:abstractNumId w:val="2"/>
  </w:num>
  <w:num w:numId="7">
    <w:abstractNumId w:val="4"/>
  </w:num>
  <w:num w:numId="8">
    <w:abstractNumId w:val="6"/>
  </w:num>
  <w:num w:numId="9">
    <w:abstractNumId w:val="7"/>
  </w:num>
  <w:num w:numId="10">
    <w:abstractNumId w:val="3"/>
  </w:num>
  <w:num w:numId="11">
    <w:abstractNumId w:val="15"/>
  </w:num>
  <w:num w:numId="12">
    <w:abstractNumId w:val="11"/>
  </w:num>
  <w:num w:numId="13">
    <w:abstractNumId w:val="8"/>
  </w:num>
  <w:num w:numId="14">
    <w:abstractNumId w:val="0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 w:default="1">
    <w:name w:val="Normal"/>
    <w:qFormat/>
    <w:pPr>
      <w:spacing w:after="200" w:line="276" w:lineRule="auto"/>
    </w:pPr>
  </w:style>
  <w:style w:type="paragraph" w:styleId="734">
    <w:name w:val="Heading 1"/>
    <w:basedOn w:val="733"/>
    <w:next w:val="92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uiPriority w:val="9"/>
    <w:unhideWhenUsed/>
    <w:qFormat/>
    <w:pPr>
      <w:numPr>
        <w:ilvl w:val="3"/>
        <w:numId w:val="2"/>
      </w:num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733"/>
    <w:uiPriority w:val="9"/>
    <w:unhideWhenUsed/>
    <w:qFormat/>
    <w:pPr>
      <w:numPr>
        <w:ilvl w:val="4"/>
        <w:numId w:val="2"/>
      </w:num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uiPriority w:val="9"/>
    <w:unhideWhenUsed/>
    <w:qFormat/>
    <w:pPr>
      <w:numPr>
        <w:ilvl w:val="5"/>
        <w:numId w:val="2"/>
      </w:num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0">
    <w:name w:val="Heading 7"/>
    <w:basedOn w:val="733"/>
    <w:uiPriority w:val="9"/>
    <w:unhideWhenUsed/>
    <w:qFormat/>
    <w:pPr>
      <w:numPr>
        <w:ilvl w:val="6"/>
        <w:numId w:val="2"/>
      </w:num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1">
    <w:name w:val="Heading 8"/>
    <w:basedOn w:val="733"/>
    <w:uiPriority w:val="9"/>
    <w:unhideWhenUsed/>
    <w:qFormat/>
    <w:pPr>
      <w:numPr>
        <w:ilvl w:val="7"/>
        <w:numId w:val="2"/>
      </w:num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42">
    <w:name w:val="Heading 9"/>
    <w:basedOn w:val="733"/>
    <w:uiPriority w:val="9"/>
    <w:unhideWhenUsed/>
    <w:qFormat/>
    <w:pPr>
      <w:numPr>
        <w:ilvl w:val="8"/>
        <w:numId w:val="2"/>
      </w:num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table" w:styleId="746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76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7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8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79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0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8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0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1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2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3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4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5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3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4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4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ned - Accent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3" w:customStyle="1">
    <w:name w:val="Lined - Accent 2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4" w:customStyle="1">
    <w:name w:val="Lined - Accent 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5" w:customStyle="1">
    <w:name w:val="Lined - Accent 4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6" w:customStyle="1">
    <w:name w:val="Lined - Accent 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7" w:customStyle="1">
    <w:name w:val="Lined - Accent 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8" w:customStyle="1">
    <w:name w:val="Bordered &amp; Lined - Accent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0" w:customStyle="1">
    <w:name w:val="Bordered &amp; Lined - Accent 2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1" w:customStyle="1">
    <w:name w:val="Bordered &amp; Lined - Accent 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2" w:customStyle="1">
    <w:name w:val="Bordered &amp; Lined - Accent 4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3" w:customStyle="1">
    <w:name w:val="Bordered &amp; Lined - Accent 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4" w:customStyle="1">
    <w:name w:val="Bordered &amp; Lined - Accent 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5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67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8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69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0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1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2" w:customStyle="1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873" w:customStyle="1">
    <w:name w:val="Heading 2 Char"/>
    <w:uiPriority w:val="9"/>
    <w:qFormat/>
    <w:rPr>
      <w:rFonts w:ascii="Arial" w:hAnsi="Arial" w:eastAsia="Arial" w:cs="Arial"/>
      <w:sz w:val="34"/>
    </w:rPr>
  </w:style>
  <w:style w:type="character" w:styleId="874" w:customStyle="1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875" w:customStyle="1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876" w:customStyle="1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877" w:customStyle="1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878" w:customStyle="1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79" w:customStyle="1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880" w:customStyle="1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881" w:customStyle="1">
    <w:name w:val="Title Char"/>
    <w:uiPriority w:val="10"/>
    <w:qFormat/>
    <w:rPr>
      <w:sz w:val="48"/>
      <w:szCs w:val="48"/>
    </w:rPr>
  </w:style>
  <w:style w:type="character" w:styleId="882" w:customStyle="1">
    <w:name w:val="Subtitle Char"/>
    <w:uiPriority w:val="11"/>
    <w:qFormat/>
    <w:rPr>
      <w:sz w:val="24"/>
      <w:szCs w:val="24"/>
    </w:rPr>
  </w:style>
  <w:style w:type="character" w:styleId="883" w:customStyle="1">
    <w:name w:val="Quote Char"/>
    <w:uiPriority w:val="29"/>
    <w:qFormat/>
    <w:rPr>
      <w:i/>
    </w:rPr>
  </w:style>
  <w:style w:type="character" w:styleId="884" w:customStyle="1">
    <w:name w:val="Intense Quote Char"/>
    <w:uiPriority w:val="30"/>
    <w:qFormat/>
    <w:rPr>
      <w:i/>
    </w:rPr>
  </w:style>
  <w:style w:type="character" w:styleId="885" w:customStyle="1">
    <w:name w:val="Header Char"/>
    <w:uiPriority w:val="99"/>
    <w:qFormat/>
  </w:style>
  <w:style w:type="character" w:styleId="886" w:customStyle="1">
    <w:name w:val="Footer Char"/>
    <w:uiPriority w:val="99"/>
    <w:qFormat/>
  </w:style>
  <w:style w:type="character" w:styleId="887" w:customStyle="1">
    <w:name w:val="Caption Char"/>
    <w:uiPriority w:val="99"/>
    <w:qFormat/>
  </w:style>
  <w:style w:type="character" w:styleId="888">
    <w:name w:val="Hyperlink"/>
    <w:uiPriority w:val="99"/>
    <w:unhideWhenUsed/>
    <w:rPr>
      <w:color w:val="0563c1" w:themeColor="hyperlink"/>
      <w:u w:val="single"/>
    </w:rPr>
  </w:style>
  <w:style w:type="character" w:styleId="889" w:customStyle="1">
    <w:name w:val="Footnote Text Char"/>
    <w:uiPriority w:val="99"/>
    <w:qFormat/>
    <w:rPr>
      <w:sz w:val="18"/>
    </w:rPr>
  </w:style>
  <w:style w:type="character" w:styleId="890" w:customStyle="1">
    <w:name w:val="Символ сноски"/>
    <w:uiPriority w:val="99"/>
    <w:semiHidden/>
    <w:unhideWhenUsed/>
    <w:qFormat/>
    <w:rPr>
      <w:vertAlign w:val="superscript"/>
    </w:rPr>
  </w:style>
  <w:style w:type="character" w:styleId="891">
    <w:name w:val="footnote reference"/>
    <w:rPr>
      <w:vertAlign w:val="superscript"/>
    </w:rPr>
  </w:style>
  <w:style w:type="character" w:styleId="892" w:customStyle="1">
    <w:name w:val="Endnote Text Char"/>
    <w:uiPriority w:val="99"/>
    <w:qFormat/>
    <w:rPr>
      <w:sz w:val="20"/>
    </w:rPr>
  </w:style>
  <w:style w:type="character" w:styleId="893" w:customStyle="1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894">
    <w:name w:val="endnote reference"/>
    <w:rPr>
      <w:vertAlign w:val="superscript"/>
    </w:rPr>
  </w:style>
  <w:style w:type="character" w:styleId="895" w:customStyle="1">
    <w:name w:val="Заголовок!_character"/>
    <w:qFormat/>
    <w:rPr>
      <w:rFonts w:ascii="Liberation Serif" w:hAnsi="Liberation Serif" w:eastAsia="Liberation Serif" w:cs="Liberation Serif"/>
      <w:b/>
      <w:color w:val="000000"/>
      <w:sz w:val="28"/>
      <w:szCs w:val="28"/>
    </w:rPr>
  </w:style>
  <w:style w:type="character" w:styleId="896" w:customStyle="1">
    <w:name w:val="Ссылка указателя"/>
    <w:qFormat/>
  </w:style>
  <w:style w:type="character" w:styleId="897" w:customStyle="1">
    <w:name w:val="Символ нумерации"/>
    <w:qFormat/>
  </w:style>
  <w:style w:type="paragraph" w:styleId="898">
    <w:name w:val="Title"/>
    <w:basedOn w:val="733"/>
    <w:next w:val="899"/>
    <w:uiPriority w:val="10"/>
    <w:qFormat/>
    <w:pPr>
      <w:contextualSpacing/>
      <w:spacing w:before="300"/>
    </w:pPr>
    <w:rPr>
      <w:sz w:val="48"/>
      <w:szCs w:val="48"/>
    </w:rPr>
  </w:style>
  <w:style w:type="paragraph" w:styleId="899">
    <w:name w:val="Body Text"/>
    <w:basedOn w:val="733"/>
    <w:pPr>
      <w:spacing w:after="140"/>
    </w:pPr>
  </w:style>
  <w:style w:type="paragraph" w:styleId="900">
    <w:name w:val="List"/>
    <w:basedOn w:val="899"/>
    <w:rPr>
      <w:rFonts w:ascii="PT Astra Serif" w:hAnsi="PT Astra Serif" w:cs="Noto Sans Devanagari"/>
    </w:rPr>
  </w:style>
  <w:style w:type="paragraph" w:styleId="901">
    <w:name w:val="Caption"/>
    <w:basedOn w:val="733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styleId="902">
    <w:name w:val="index heading"/>
    <w:basedOn w:val="898"/>
  </w:style>
  <w:style w:type="paragraph" w:styleId="903">
    <w:name w:val="Subtitle"/>
    <w:basedOn w:val="733"/>
    <w:uiPriority w:val="11"/>
    <w:qFormat/>
    <w:pPr>
      <w:spacing w:before="200"/>
    </w:pPr>
    <w:rPr>
      <w:sz w:val="24"/>
      <w:szCs w:val="24"/>
    </w:rPr>
  </w:style>
  <w:style w:type="paragraph" w:styleId="904">
    <w:name w:val="Quote"/>
    <w:basedOn w:val="733"/>
    <w:uiPriority w:val="29"/>
    <w:qFormat/>
    <w:pPr>
      <w:ind w:left="720" w:right="720"/>
    </w:pPr>
    <w:rPr>
      <w:i/>
    </w:rPr>
  </w:style>
  <w:style w:type="paragraph" w:styleId="905">
    <w:name w:val="Intense Quote"/>
    <w:basedOn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906" w:customStyle="1">
    <w:name w:val="Колонтитул"/>
    <w:basedOn w:val="733"/>
    <w:qFormat/>
  </w:style>
  <w:style w:type="paragraph" w:styleId="907">
    <w:name w:val="Header"/>
    <w:basedOn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908">
    <w:name w:val="Footer"/>
    <w:basedOn w:val="733"/>
    <w:link w:val="9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909">
    <w:name w:val="footnote text"/>
    <w:basedOn w:val="733"/>
    <w:uiPriority w:val="99"/>
    <w:semiHidden/>
    <w:unhideWhenUsed/>
    <w:pPr>
      <w:spacing w:after="40" w:line="240" w:lineRule="auto"/>
    </w:pPr>
    <w:rPr>
      <w:sz w:val="18"/>
    </w:rPr>
  </w:style>
  <w:style w:type="paragraph" w:styleId="910">
    <w:name w:val="endnote text"/>
    <w:basedOn w:val="733"/>
    <w:uiPriority w:val="99"/>
    <w:semiHidden/>
    <w:unhideWhenUsed/>
    <w:pPr>
      <w:spacing w:after="0" w:line="240" w:lineRule="auto"/>
    </w:pPr>
    <w:rPr>
      <w:sz w:val="20"/>
    </w:rPr>
  </w:style>
  <w:style w:type="paragraph" w:styleId="911">
    <w:name w:val="toc 1"/>
    <w:basedOn w:val="733"/>
    <w:uiPriority w:val="39"/>
    <w:unhideWhenUsed/>
    <w:pPr>
      <w:spacing w:after="170"/>
      <w:tabs>
        <w:tab w:val="right" w:pos="10092" w:leader="dot"/>
      </w:tabs>
      <w:pBdr>
        <w:bottom w:val="single" w:color="000000" w:sz="8" w:space="0"/>
      </w:pBdr>
    </w:pPr>
    <w:rPr>
      <w:b/>
      <w:sz w:val="28"/>
    </w:rPr>
  </w:style>
  <w:style w:type="paragraph" w:styleId="912">
    <w:name w:val="toc 2"/>
    <w:basedOn w:val="733"/>
    <w:uiPriority w:val="39"/>
    <w:unhideWhenUsed/>
    <w:pPr>
      <w:spacing w:after="57"/>
    </w:pPr>
    <w:rPr>
      <w:b/>
      <w:sz w:val="26"/>
    </w:rPr>
  </w:style>
  <w:style w:type="paragraph" w:styleId="913">
    <w:name w:val="toc 3"/>
    <w:basedOn w:val="733"/>
    <w:uiPriority w:val="39"/>
    <w:unhideWhenUsed/>
    <w:pPr>
      <w:spacing w:after="57"/>
    </w:pPr>
    <w:rPr>
      <w:sz w:val="26"/>
    </w:rPr>
  </w:style>
  <w:style w:type="paragraph" w:styleId="914">
    <w:name w:val="toc 4"/>
    <w:basedOn w:val="733"/>
    <w:uiPriority w:val="39"/>
    <w:unhideWhenUsed/>
    <w:pPr>
      <w:spacing w:after="57"/>
    </w:pPr>
  </w:style>
  <w:style w:type="paragraph" w:styleId="915">
    <w:name w:val="toc 5"/>
    <w:basedOn w:val="733"/>
    <w:uiPriority w:val="39"/>
    <w:unhideWhenUsed/>
    <w:pPr>
      <w:spacing w:after="57"/>
    </w:pPr>
  </w:style>
  <w:style w:type="paragraph" w:styleId="916">
    <w:name w:val="toc 6"/>
    <w:basedOn w:val="733"/>
    <w:uiPriority w:val="39"/>
    <w:unhideWhenUsed/>
    <w:pPr>
      <w:spacing w:after="57"/>
    </w:pPr>
  </w:style>
  <w:style w:type="paragraph" w:styleId="917">
    <w:name w:val="toc 7"/>
    <w:basedOn w:val="733"/>
    <w:uiPriority w:val="39"/>
    <w:unhideWhenUsed/>
    <w:pPr>
      <w:spacing w:after="57"/>
    </w:pPr>
  </w:style>
  <w:style w:type="paragraph" w:styleId="918">
    <w:name w:val="toc 8"/>
    <w:basedOn w:val="733"/>
    <w:uiPriority w:val="39"/>
    <w:unhideWhenUsed/>
    <w:pPr>
      <w:spacing w:after="57"/>
    </w:pPr>
  </w:style>
  <w:style w:type="paragraph" w:styleId="919">
    <w:name w:val="toc 9"/>
    <w:basedOn w:val="733"/>
    <w:uiPriority w:val="39"/>
    <w:unhideWhenUsed/>
    <w:pPr>
      <w:spacing w:after="57"/>
    </w:pPr>
  </w:style>
  <w:style w:type="paragraph" w:styleId="920">
    <w:name w:val="TOC Heading"/>
    <w:uiPriority w:val="39"/>
    <w:unhideWhenUsed/>
    <w:qFormat/>
    <w:pPr>
      <w:spacing w:after="200" w:line="276" w:lineRule="auto"/>
    </w:pPr>
  </w:style>
  <w:style w:type="paragraph" w:styleId="921">
    <w:name w:val="table of figures"/>
    <w:basedOn w:val="733"/>
    <w:uiPriority w:val="99"/>
    <w:unhideWhenUsed/>
    <w:pPr>
      <w:spacing w:after="0"/>
    </w:pPr>
  </w:style>
  <w:style w:type="paragraph" w:styleId="922">
    <w:name w:val="No Spacing"/>
    <w:basedOn w:val="733"/>
    <w:uiPriority w:val="1"/>
    <w:qFormat/>
    <w:pPr>
      <w:spacing w:after="0" w:line="240" w:lineRule="auto"/>
    </w:pPr>
  </w:style>
  <w:style w:type="paragraph" w:styleId="923">
    <w:name w:val="List Paragraph"/>
    <w:basedOn w:val="733"/>
    <w:uiPriority w:val="34"/>
    <w:qFormat/>
    <w:pPr>
      <w:contextualSpacing/>
      <w:ind w:left="720"/>
    </w:pPr>
  </w:style>
  <w:style w:type="paragraph" w:styleId="924" w:customStyle="1">
    <w:name w:val="Стиль1"/>
    <w:qFormat/>
    <w:pPr>
      <w:jc w:val="center"/>
      <w:keepLines/>
      <w:keepNext/>
      <w:spacing w:before="480"/>
      <w:widowControl w:val="off"/>
      <w:outlineLvl w:val="0"/>
    </w:pPr>
    <w:rPr>
      <w:rFonts w:ascii="Times New Roman" w:hAnsi="Times New Roman" w:eastAsia="Times New Roman" w:cs="Times New Roman"/>
      <w:bCs/>
      <w:color w:val="2e74b5" w:themeColor="accent1" w:themeShade="BF"/>
      <w:sz w:val="28"/>
      <w:szCs w:val="28"/>
      <w:lang w:eastAsia="ru-RU"/>
    </w:rPr>
  </w:style>
  <w:style w:type="paragraph" w:styleId="925" w:customStyle="1">
    <w:name w:val="Заголовок!"/>
    <w:basedOn w:val="734"/>
    <w:qFormat/>
    <w:pPr>
      <w:jc w:val="center"/>
    </w:pPr>
    <w:rPr>
      <w:rFonts w:ascii="Liberation Serif" w:hAnsi="Liberation Serif" w:eastAsia="Liberation Serif" w:cs="Liberation Serif"/>
      <w:b/>
      <w:color w:val="000000"/>
      <w:sz w:val="28"/>
      <w:szCs w:val="28"/>
    </w:rPr>
  </w:style>
  <w:style w:type="paragraph" w:styleId="926" w:customStyle="1">
    <w:name w:val="Содержимое врезки"/>
    <w:basedOn w:val="733"/>
    <w:qFormat/>
  </w:style>
  <w:style w:type="paragraph" w:styleId="927">
    <w:name w:val="table of authorities"/>
    <w:basedOn w:val="902"/>
    <w:pPr>
      <w:suppressLineNumbers/>
    </w:pPr>
    <w:rPr>
      <w:b/>
      <w:bCs/>
      <w:sz w:val="32"/>
      <w:szCs w:val="32"/>
    </w:rPr>
  </w:style>
  <w:style w:type="paragraph" w:styleId="928" w:customStyle="1">
    <w:name w:val="Содержимое таблицы"/>
    <w:basedOn w:val="733"/>
    <w:qFormat/>
    <w:pPr>
      <w:widowControl w:val="off"/>
      <w:suppressLineNumbers/>
    </w:pPr>
  </w:style>
  <w:style w:type="paragraph" w:styleId="929" w:customStyle="1">
    <w:name w:val="Заголовок таблицы"/>
    <w:basedOn w:val="928"/>
    <w:qFormat/>
    <w:pPr>
      <w:jc w:val="center"/>
    </w:pPr>
    <w:rPr>
      <w:b/>
      <w:bCs/>
    </w:rPr>
  </w:style>
  <w:style w:type="character" w:styleId="930" w:customStyle="1">
    <w:name w:val="Нижний колонтитул Знак"/>
    <w:basedOn w:val="743"/>
    <w:link w:val="90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s://login.consultant.ru/link/?req=doc&amp;base=LAW&amp;n=458427&amp;dst=100014&amp;field=134&amp;date=12.12.2024" TargetMode="External"/><Relationship Id="rId11" Type="http://schemas.openxmlformats.org/officeDocument/2006/relationships/hyperlink" Target="https://login.consultant.ru/link/?req=doc&amp;base=LAW&amp;n=481382&amp;dst=100060" TargetMode="External"/><Relationship Id="rId12" Type="http://schemas.openxmlformats.org/officeDocument/2006/relationships/hyperlink" Target="consultantplus://offline/ref=2B70F4A297CDB716C9D486DADE54556F0D870A47E7BA8A028837B60814A38A57864AA2FEA1D3B73BB064938559F65D3BA7A94488F43CCFFBR0IBO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Р7-Офис/2024.3.2.551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Каранова Анна Юрьевна</dc:creator>
  <dc:description/>
  <dc:language>ru-RU</dc:language>
  <cp:revision>4</cp:revision>
  <dcterms:created xsi:type="dcterms:W3CDTF">2025-08-13T15:54:00Z</dcterms:created>
  <dcterms:modified xsi:type="dcterms:W3CDTF">2025-08-14T07:02:30Z</dcterms:modified>
</cp:coreProperties>
</file>