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991" w:rsidRDefault="00AA3991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</w:p>
    <w:p w:rsidR="00454C55" w:rsidRPr="00F40406" w:rsidRDefault="00454C55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F40406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t>ПРОЕКТ</w:t>
      </w:r>
    </w:p>
    <w:p w:rsidR="00454C55" w:rsidRPr="00F40406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54C55" w:rsidRPr="00F40406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4040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454C55" w:rsidRPr="00F40406" w:rsidRDefault="00454C55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4040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по вопросам повестки дня годового Общего </w:t>
      </w:r>
      <w:r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собрания акционеров Публичного </w:t>
      </w:r>
      <w:r w:rsidRPr="00F4040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акционерного общества «Саратовэнерго»</w:t>
      </w:r>
    </w:p>
    <w:p w:rsidR="00454C55" w:rsidRPr="00F40406" w:rsidRDefault="00454C55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F40406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454C55" w:rsidRPr="00C34E84" w:rsidRDefault="00454C55" w:rsidP="00D037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54C55" w:rsidRPr="00C34E84" w:rsidRDefault="00454C55" w:rsidP="00D037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454C55" w:rsidRPr="00C34E84" w:rsidRDefault="00454C55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C34E8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ВОПРОС</w:t>
      </w:r>
      <w:r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 xml:space="preserve"> 1</w:t>
      </w:r>
      <w:r w:rsidRPr="00C34E84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:</w:t>
      </w:r>
    </w:p>
    <w:p w:rsidR="00454C55" w:rsidRPr="00F71FF4" w:rsidRDefault="00454C55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pacing w:val="-2"/>
          <w:sz w:val="28"/>
          <w:szCs w:val="24"/>
          <w:lang w:eastAsia="ru-RU"/>
        </w:rPr>
        <w:t xml:space="preserve">Об утверждении </w:t>
      </w:r>
      <w:r w:rsidRPr="00C34E84">
        <w:rPr>
          <w:rFonts w:ascii="Times New Roman" w:eastAsia="Times New Roman" w:hAnsi="Times New Roman" w:cs="Times New Roman"/>
          <w:sz w:val="28"/>
          <w:szCs w:val="24"/>
          <w:lang w:eastAsia="ru-RU"/>
        </w:rPr>
        <w:t>годового отчета, годовой бухгалтерской (финансовой) о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тчетности Общества за 2017 год.</w:t>
      </w:r>
    </w:p>
    <w:p w:rsidR="00454C55" w:rsidRPr="00C34E84" w:rsidRDefault="00454C55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</w:p>
    <w:p w:rsidR="00454C55" w:rsidRPr="00C34E84" w:rsidRDefault="00454C55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</w:pPr>
      <w:r w:rsidRPr="00C34E84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>РЕШЕНИЕ:</w:t>
      </w:r>
    </w:p>
    <w:p w:rsidR="00454C55" w:rsidRPr="00C34E84" w:rsidRDefault="00454C55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</w:t>
      </w:r>
      <w:r w:rsidRPr="00C34E84">
        <w:rPr>
          <w:rFonts w:ascii="Times New Roman" w:eastAsia="Times New Roman" w:hAnsi="Times New Roman" w:cs="Times New Roman"/>
          <w:sz w:val="28"/>
          <w:szCs w:val="24"/>
          <w:lang w:eastAsia="ru-RU"/>
        </w:rPr>
        <w:t>твердить годовой отчет Общества и годовую бухгалтерскую (финансовую) отчетность, в том числе</w:t>
      </w:r>
      <w:r w:rsidR="0025720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отчет о финансовых результатах</w:t>
      </w:r>
      <w:r w:rsidRPr="00C34E8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за 2017 финансовый год</w:t>
      </w:r>
      <w:r w:rsidR="004E36CD">
        <w:rPr>
          <w:rFonts w:ascii="Times New Roman" w:eastAsia="Times New Roman" w:hAnsi="Times New Roman" w:cs="Times New Roman"/>
          <w:bCs/>
          <w:sz w:val="28"/>
          <w:szCs w:val="24"/>
          <w:lang w:eastAsia="ru-RU"/>
        </w:rPr>
        <w:t>.</w:t>
      </w:r>
    </w:p>
    <w:p w:rsidR="00454C55" w:rsidRDefault="00454C55" w:rsidP="00D0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br w:type="page"/>
      </w:r>
    </w:p>
    <w:p w:rsidR="00454C55" w:rsidRPr="00454C55" w:rsidRDefault="00454C55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54C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ВОПРОС 2: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454C5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 распределении прибыли и убытков Общества по результатам 2017 года.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54C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454C55" w:rsidRPr="00B71685" w:rsidRDefault="00454C55" w:rsidP="00D037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1685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следующее распределение прибыли Общ</w:t>
      </w:r>
      <w:r w:rsidR="00A23D27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ества по результатам 2017 года:</w:t>
      </w:r>
      <w:bookmarkStart w:id="0" w:name="_GoBack"/>
      <w:bookmarkEnd w:id="0"/>
    </w:p>
    <w:p w:rsidR="00454C55" w:rsidRPr="00B71685" w:rsidRDefault="00454C55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4531" w:type="pct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8"/>
        <w:gridCol w:w="1865"/>
      </w:tblGrid>
      <w:tr w:rsidR="00454C55" w:rsidRPr="00B71685" w:rsidTr="00C51329">
        <w:tc>
          <w:tcPr>
            <w:tcW w:w="3925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C55" w:rsidRPr="00B71685" w:rsidRDefault="00454C55" w:rsidP="00D0370A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Наименование строки</w:t>
            </w:r>
          </w:p>
        </w:tc>
        <w:tc>
          <w:tcPr>
            <w:tcW w:w="107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C55" w:rsidRPr="00B71685" w:rsidRDefault="00454C55" w:rsidP="00D0370A">
            <w:pPr>
              <w:spacing w:after="0" w:line="240" w:lineRule="auto"/>
              <w:ind w:right="-70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 (тыс. руб.)</w:t>
            </w:r>
          </w:p>
        </w:tc>
      </w:tr>
      <w:tr w:rsidR="00454C55" w:rsidRPr="00B71685" w:rsidTr="00C51329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E36CD" w:rsidRDefault="00454C55" w:rsidP="00D0370A">
            <w:pPr>
              <w:spacing w:after="0" w:line="240" w:lineRule="auto"/>
              <w:ind w:right="198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>Нераспределенн</w:t>
            </w: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ая прибыль </w:t>
            </w:r>
          </w:p>
          <w:p w:rsidR="00454C55" w:rsidRPr="00B71685" w:rsidRDefault="00454C55" w:rsidP="00D0370A">
            <w:pPr>
              <w:spacing w:after="0" w:line="240" w:lineRule="auto"/>
              <w:ind w:right="198"/>
              <w:jc w:val="both"/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(непокрытый убыток) </w:t>
            </w:r>
            <w:r w:rsidRPr="00B71685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отчетного периода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C55" w:rsidRPr="00B71685" w:rsidRDefault="00454C55" w:rsidP="00D0370A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highlight w:val="yellow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7 115</w:t>
            </w:r>
          </w:p>
        </w:tc>
      </w:tr>
      <w:tr w:rsidR="00454C55" w:rsidRPr="00B71685" w:rsidTr="00C51329">
        <w:tc>
          <w:tcPr>
            <w:tcW w:w="5000" w:type="pct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C55" w:rsidRPr="00B71685" w:rsidRDefault="00454C55" w:rsidP="00D0370A">
            <w:pPr>
              <w:spacing w:after="0" w:line="240" w:lineRule="auto"/>
              <w:ind w:right="-70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Распределение прибыли и убытков, в том числе:</w:t>
            </w:r>
          </w:p>
        </w:tc>
      </w:tr>
      <w:tr w:rsidR="00454C55" w:rsidRPr="00B71685" w:rsidTr="00C51329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C55" w:rsidRPr="00B71685" w:rsidRDefault="00454C55" w:rsidP="00D0370A">
            <w:pPr>
              <w:spacing w:after="0" w:line="240" w:lineRule="auto"/>
              <w:ind w:right="19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Резервный фонд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C55" w:rsidRPr="00B71685" w:rsidRDefault="00454C55" w:rsidP="00D0370A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54C55" w:rsidRPr="00B71685" w:rsidTr="00C51329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C55" w:rsidRPr="00B71685" w:rsidRDefault="00454C55" w:rsidP="00D0370A">
            <w:pPr>
              <w:spacing w:after="0" w:line="240" w:lineRule="auto"/>
              <w:ind w:right="19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Дивиденды за 2017 год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C55" w:rsidRPr="00B71685" w:rsidRDefault="00454C55" w:rsidP="00D0370A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54C55" w:rsidRPr="00B71685" w:rsidTr="00C51329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C55" w:rsidRPr="00B71685" w:rsidRDefault="00454C55" w:rsidP="00D0370A">
            <w:pPr>
              <w:spacing w:after="0" w:line="240" w:lineRule="auto"/>
              <w:ind w:right="19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Погашение убытков прошлых лет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C55" w:rsidRPr="00B71685" w:rsidRDefault="00454C55" w:rsidP="00D0370A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54C55" w:rsidRPr="00B71685" w:rsidTr="00C51329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C55" w:rsidRPr="00B71685" w:rsidRDefault="00454C55" w:rsidP="00D0370A">
            <w:pPr>
              <w:spacing w:after="0" w:line="240" w:lineRule="auto"/>
              <w:ind w:right="19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На накопление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C55" w:rsidRPr="00B71685" w:rsidRDefault="00454C55" w:rsidP="00D0370A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54C55" w:rsidRPr="00B71685" w:rsidTr="00C51329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C55" w:rsidRPr="00B71685" w:rsidRDefault="00454C55" w:rsidP="00D0370A">
            <w:pPr>
              <w:spacing w:after="0" w:line="240" w:lineRule="auto"/>
              <w:ind w:right="198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>Инвестиции 2017 год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C55" w:rsidRPr="00B71685" w:rsidRDefault="00454C55" w:rsidP="00D0370A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0</w:t>
            </w:r>
          </w:p>
        </w:tc>
      </w:tr>
      <w:tr w:rsidR="00454C55" w:rsidRPr="00B71685" w:rsidTr="00C51329">
        <w:tc>
          <w:tcPr>
            <w:tcW w:w="39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54C55" w:rsidRPr="00B71685" w:rsidRDefault="00454C55" w:rsidP="00D0370A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sz w:val="28"/>
                <w:szCs w:val="28"/>
                <w:lang w:eastAsia="ru-RU"/>
              </w:rPr>
              <w:t xml:space="preserve">Оставить нераспределенной </w:t>
            </w:r>
          </w:p>
        </w:tc>
        <w:tc>
          <w:tcPr>
            <w:tcW w:w="10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54C55" w:rsidRPr="00B71685" w:rsidRDefault="00454C55" w:rsidP="00D0370A">
            <w:pPr>
              <w:spacing w:after="0" w:line="240" w:lineRule="auto"/>
              <w:ind w:right="-70"/>
              <w:jc w:val="center"/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</w:pPr>
            <w:r w:rsidRPr="00B71685">
              <w:rPr>
                <w:rFonts w:ascii="Times New Roman" w:eastAsia="Calibri" w:hAnsi="Times New Roman" w:cs="Times New Roman"/>
                <w:bCs/>
                <w:sz w:val="28"/>
                <w:szCs w:val="28"/>
                <w:lang w:eastAsia="ru-RU"/>
              </w:rPr>
              <w:t>7 115</w:t>
            </w:r>
          </w:p>
        </w:tc>
      </w:tr>
    </w:tbl>
    <w:p w:rsidR="00454C55" w:rsidRDefault="00454C55" w:rsidP="00D0370A">
      <w:pPr>
        <w:spacing w:after="0" w:line="240" w:lineRule="auto"/>
      </w:pPr>
      <w:r>
        <w:br w:type="page"/>
      </w:r>
    </w:p>
    <w:p w:rsidR="00454C55" w:rsidRPr="00454C55" w:rsidRDefault="00454C55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454C55" w:rsidRPr="00454C55" w:rsidRDefault="00454C55" w:rsidP="00D0370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54C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ВОПРОС 3: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 w:rsidRPr="00454C5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О выплате (объявлении) дивидендов по </w:t>
      </w:r>
      <w:r w:rsidRPr="00454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обыкновенным акциям </w:t>
      </w:r>
      <w:r w:rsidRPr="00454C5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ПАО «Саратовэнерго» по результатам 2017 года.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54C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454C55" w:rsidRPr="00625BDB" w:rsidRDefault="00454C55" w:rsidP="00D037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5BDB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выплачивать дивиденды по обыкновенным акциям Общества по результатам 2017 года.</w:t>
      </w:r>
    </w:p>
    <w:p w:rsidR="00454C55" w:rsidRPr="00625BDB" w:rsidRDefault="00454C55" w:rsidP="00D037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C55" w:rsidRPr="00454C55" w:rsidRDefault="00454C55" w:rsidP="00D037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C55" w:rsidRPr="00454C55" w:rsidRDefault="00454C55" w:rsidP="00D0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5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54C55" w:rsidRPr="00454C55" w:rsidRDefault="00454C55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454C55" w:rsidRPr="00454C55" w:rsidRDefault="00454C55" w:rsidP="00D0370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54C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ВОПРОС 4: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</w:t>
      </w:r>
      <w:r w:rsidRPr="00454C5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выплате (объявлении) дивидендов по привилегированным акциям типа</w:t>
      </w:r>
      <w:proofErr w:type="gramStart"/>
      <w:r w:rsidRPr="00454C5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А</w:t>
      </w:r>
      <w:proofErr w:type="gramEnd"/>
      <w:r w:rsidRPr="00454C55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ПАО «Саратовэнерго» по результатам 2017 года.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left="720"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454C55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454C55" w:rsidRPr="00454C55" w:rsidRDefault="00454C55" w:rsidP="00D0370A">
      <w:pPr>
        <w:spacing w:after="0" w:line="240" w:lineRule="auto"/>
        <w:ind w:firstLine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5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выплачивать дивиденды по привилегированным акциям типа</w:t>
      </w:r>
      <w:proofErr w:type="gramStart"/>
      <w:r w:rsidRPr="00454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</w:t>
      </w:r>
      <w:proofErr w:type="gramEnd"/>
      <w:r w:rsidRPr="00454C5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 по результатам 2017 года.</w:t>
      </w:r>
    </w:p>
    <w:p w:rsidR="00454C55" w:rsidRDefault="00454C55" w:rsidP="00D0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454C55" w:rsidRPr="00454C55" w:rsidRDefault="00454C55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left="75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454C55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 5:</w:t>
      </w:r>
    </w:p>
    <w:p w:rsidR="00454C55" w:rsidRPr="00454C55" w:rsidRDefault="00454C55" w:rsidP="00D0370A">
      <w:pPr>
        <w:tabs>
          <w:tab w:val="left" w:pos="0"/>
          <w:tab w:val="left" w:pos="720"/>
        </w:tabs>
        <w:spacing w:after="0" w:line="240" w:lineRule="auto"/>
        <w:ind w:right="7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55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избрании членов Совета директоров Общества.</w:t>
      </w:r>
    </w:p>
    <w:p w:rsidR="00454C55" w:rsidRPr="00454C55" w:rsidRDefault="00454C55" w:rsidP="00D0370A">
      <w:pPr>
        <w:tabs>
          <w:tab w:val="left" w:pos="0"/>
          <w:tab w:val="left" w:pos="720"/>
        </w:tabs>
        <w:spacing w:after="0" w:line="240" w:lineRule="auto"/>
        <w:ind w:right="7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4C55" w:rsidRPr="00454C55" w:rsidRDefault="00454C55" w:rsidP="00D0370A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54C5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РЕШЕНИЕ:</w:t>
      </w:r>
    </w:p>
    <w:p w:rsidR="00454C55" w:rsidRPr="00454C55" w:rsidRDefault="00454C55" w:rsidP="00D0370A">
      <w:pPr>
        <w:tabs>
          <w:tab w:val="left" w:pos="2977"/>
        </w:tabs>
        <w:spacing w:after="0" w:line="240" w:lineRule="auto"/>
        <w:ind w:right="78"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54C55">
        <w:rPr>
          <w:rFonts w:ascii="Times New Roman" w:eastAsia="Times New Roman" w:hAnsi="Times New Roman" w:cs="Times New Roman"/>
          <w:sz w:val="28"/>
          <w:szCs w:val="28"/>
          <w:lang w:eastAsia="ru-RU"/>
        </w:rPr>
        <w:t>Избрать Совет директоров Общества в следующем составе:</w:t>
      </w:r>
    </w:p>
    <w:p w:rsidR="00454C55" w:rsidRPr="00454C55" w:rsidRDefault="00454C55" w:rsidP="00D0370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94"/>
        <w:gridCol w:w="2341"/>
        <w:gridCol w:w="3303"/>
        <w:gridCol w:w="3260"/>
      </w:tblGrid>
      <w:tr w:rsidR="00454C55" w:rsidRPr="00454C55" w:rsidTr="00104A39">
        <w:trPr>
          <w:trHeight w:val="411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5" w:rsidRPr="00454C55" w:rsidRDefault="00454C55" w:rsidP="00D0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36CD" w:rsidRDefault="00454C55" w:rsidP="00D0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Кандидатура, предложенная акционерами</w:t>
            </w:r>
          </w:p>
          <w:p w:rsidR="00454C55" w:rsidRPr="00454C55" w:rsidRDefault="00454C55" w:rsidP="00D0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(-ом) для включения в список для голосования по выборам в Совет директоров Общества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4C55" w:rsidRPr="00454C55" w:rsidRDefault="00454C55" w:rsidP="00D0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Должность, место работы кандидата, предложенного акционерами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ом) для включения в список для голосования по выборам в Совет директоров Общества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4C55" w:rsidRPr="00454C55" w:rsidRDefault="00454C55" w:rsidP="00D0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Ф.И.О./наименование акционеров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), предложившего кандидатуру для включения в список для голосования по выборам в Совет директоров Общества</w:t>
            </w:r>
          </w:p>
        </w:tc>
      </w:tr>
      <w:tr w:rsidR="00454C55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Орлов Дмитрий Станиславович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Руководитель Блока розничного бизнеса ПАО «Интер РАО»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0370A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Фоминов Павел Робертович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Департамента инвестиционного прогнозирования и анализа Блока стратегии и инвестиций ПАО «Интер РАО»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Default="00D0370A" w:rsidP="00D0370A">
            <w:r w:rsidRPr="00D577E1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Кириенко Денис Борисович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по управл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ению проектами проектного офиса</w:t>
            </w:r>
          </w:p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ПАО «</w:t>
            </w:r>
            <w:proofErr w:type="spell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Мосэнергосбыт</w:t>
            </w:r>
            <w:proofErr w:type="spell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Default="00D0370A" w:rsidP="00D0370A">
            <w:r w:rsidRPr="00D577E1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D0370A">
        <w:trPr>
          <w:trHeight w:val="1020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Агапина</w:t>
            </w:r>
            <w:proofErr w:type="spell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Юлия Анатольевна 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Ведущий эксперт Департамента сводного экономического планирования Финансово-экономического центра </w:t>
            </w: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ПАО «Интер РАО»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Default="00D0370A" w:rsidP="00D0370A">
            <w:r w:rsidRPr="00D577E1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Публичное акционерное общество «Интер РАО ЕЭС»</w:t>
            </w:r>
          </w:p>
        </w:tc>
      </w:tr>
      <w:tr w:rsidR="00D0370A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Овчинников Сергей Викторович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по обеспечению безопасности зарубежных активов и сбытовых компаний Блока безопасности и режима ПАО «Интер РАО»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Default="00D0370A" w:rsidP="00D0370A">
            <w:r w:rsidRPr="00172CB7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Щербаков Алексей Анатольевич 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Генеральный директор ПАО «Саратовэнерго»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Default="00D0370A" w:rsidP="00D0370A">
            <w:r w:rsidRPr="00172CB7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Жабин Никита Александрович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Руководитель Дирекции нормативно-правового об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еспечения Блока правовой работы </w:t>
            </w: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ПАО «Интер РАО» 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Default="00D0370A" w:rsidP="00D0370A">
            <w:r w:rsidRPr="00172CB7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Криличевский</w:t>
            </w:r>
            <w:proofErr w:type="spell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Евгений Владимирович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Директор филиала «Северо-Западный» АО «</w:t>
            </w:r>
            <w:proofErr w:type="spell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Оборонэнерго</w:t>
            </w:r>
            <w:proofErr w:type="spell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Default="00D0370A" w:rsidP="00D0370A">
            <w:r w:rsidRPr="00172CB7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Соловьева Лилия Александровна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Главный эксперт Департамента корпоративных сделок Блока корпоративных и имущественных отношений ПАО «Интер РАО»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Default="00D0370A" w:rsidP="00D0370A">
            <w:r w:rsidRPr="00172CB7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454C55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Максимов Сергей Александрович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CD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Заместитель генерального директора по сбыту </w:t>
            </w:r>
          </w:p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ПАО «Самараэнерго»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454C55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Владимиров Игорь Александрович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Начальник отдела регистрации имущества АО «ССК»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454C55" w:rsidRPr="00454C55" w:rsidTr="00D0370A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proofErr w:type="spellStart"/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Шашков</w:t>
            </w:r>
            <w:proofErr w:type="spellEnd"/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Сергей Анатольевич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Председатель Правления ООО «ЕТЭС»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энергетики и электрификации «Самараэнерго»</w:t>
            </w:r>
          </w:p>
        </w:tc>
      </w:tr>
      <w:tr w:rsidR="00454C55" w:rsidRPr="00454C55" w:rsidTr="00104A39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13.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Муковозов Олег Геннадьевич</w:t>
            </w:r>
          </w:p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E36CD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департамента корпоративного управления </w:t>
            </w:r>
          </w:p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ПАО «Т  Плюс»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 с ограниченной ответственностью «Сбытовой холдинг»</w:t>
            </w:r>
          </w:p>
        </w:tc>
      </w:tr>
      <w:tr w:rsidR="00454C55" w:rsidRPr="00454C55" w:rsidTr="00104A39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Королев Виталий Александрович</w:t>
            </w:r>
          </w:p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CD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управления работы с подконтрольными организациями </w:t>
            </w:r>
          </w:p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ПАО «Т Плюс»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 с ограниченной ответственностью «Сбытовой холдинг»</w:t>
            </w:r>
          </w:p>
        </w:tc>
      </w:tr>
      <w:tr w:rsidR="00454C55" w:rsidRPr="00454C55" w:rsidTr="00104A39">
        <w:trPr>
          <w:trHeight w:val="765"/>
        </w:trPr>
        <w:tc>
          <w:tcPr>
            <w:tcW w:w="5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2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Хомутова Татьяна</w:t>
            </w:r>
          </w:p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Calibri" w:hAnsi="Times New Roman" w:cs="Times New Roman"/>
                <w:sz w:val="28"/>
                <w:szCs w:val="28"/>
              </w:rPr>
              <w:t>Васильевна</w:t>
            </w:r>
          </w:p>
        </w:tc>
        <w:tc>
          <w:tcPr>
            <w:tcW w:w="33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36CD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Заместитель директора филиала по экономике и финансам</w:t>
            </w:r>
          </w:p>
          <w:p w:rsidR="00454C55" w:rsidRPr="00454C55" w:rsidRDefault="00454C55" w:rsidP="00D0370A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Филиал «Саратовский» ПАО «Т Плюс»</w:t>
            </w:r>
          </w:p>
        </w:tc>
        <w:tc>
          <w:tcPr>
            <w:tcW w:w="3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4C55" w:rsidRPr="00454C55" w:rsidRDefault="00454C55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Общество с ограниченной ответственностью «Сбытовой холдинг»</w:t>
            </w:r>
          </w:p>
        </w:tc>
      </w:tr>
    </w:tbl>
    <w:p w:rsidR="00454C55" w:rsidRPr="00454C55" w:rsidRDefault="00454C55" w:rsidP="00D0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54C55"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  <w:br w:type="page"/>
      </w:r>
    </w:p>
    <w:p w:rsidR="00454C55" w:rsidRPr="00454C55" w:rsidRDefault="00454C55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bookmarkStart w:id="1" w:name="_Toc375750310"/>
      <w:bookmarkStart w:id="2" w:name="_Toc354491730"/>
      <w:r w:rsidRPr="00454C55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  <w:bookmarkEnd w:id="1"/>
      <w:bookmarkEnd w:id="2"/>
    </w:p>
    <w:p w:rsidR="00454C55" w:rsidRPr="00454C55" w:rsidRDefault="00454C55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454C55" w:rsidRPr="00454C55" w:rsidRDefault="00454C55" w:rsidP="00D0370A">
      <w:pPr>
        <w:shd w:val="clear" w:color="auto" w:fill="FFFFFF"/>
        <w:tabs>
          <w:tab w:val="left" w:pos="3828"/>
        </w:tabs>
        <w:spacing w:after="0" w:line="240" w:lineRule="auto"/>
        <w:ind w:right="1440" w:firstLine="1560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ВОПРОС 6: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Об избрании членов Ревизионной комиссии Общества.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b/>
          <w:color w:val="000000"/>
          <w:sz w:val="28"/>
          <w:szCs w:val="24"/>
          <w:lang w:eastAsia="ru-RU"/>
        </w:rPr>
        <w:t>РЕШЕНИЕ:</w:t>
      </w:r>
    </w:p>
    <w:p w:rsidR="00454C55" w:rsidRPr="00454C55" w:rsidRDefault="00454C55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454C5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Избрать Ревизионную комиссию Общества в следующем составе:</w:t>
      </w:r>
    </w:p>
    <w:p w:rsidR="00454C55" w:rsidRPr="00454C55" w:rsidRDefault="00454C55" w:rsidP="00D0370A">
      <w:pPr>
        <w:tabs>
          <w:tab w:val="num" w:pos="360"/>
          <w:tab w:val="left" w:pos="900"/>
        </w:tabs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056" w:type="dxa"/>
        <w:tblInd w:w="-34" w:type="dxa"/>
        <w:tblLook w:val="04A0" w:firstRow="1" w:lastRow="0" w:firstColumn="1" w:lastColumn="0" w:noHBand="0" w:noVBand="1"/>
      </w:tblPr>
      <w:tblGrid>
        <w:gridCol w:w="568"/>
        <w:gridCol w:w="2268"/>
        <w:gridCol w:w="3969"/>
        <w:gridCol w:w="3251"/>
      </w:tblGrid>
      <w:tr w:rsidR="00454C55" w:rsidRPr="00454C55" w:rsidTr="00C51329">
        <w:trPr>
          <w:trHeight w:val="411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4C55" w:rsidRPr="00454C55" w:rsidRDefault="00454C55" w:rsidP="00D0370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4C55" w:rsidRPr="00454C55" w:rsidRDefault="00454C55" w:rsidP="00D0370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Кандидатура, предложенная акционерами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ом) для включения в список для голосования по выборам в Ревизионную комиссию Общества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4C55" w:rsidRPr="00454C55" w:rsidRDefault="00454C55" w:rsidP="00D0370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Должность, место работы кандидата, предложенного акционерами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gram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ом) для включения в список для голосования по выборам в Ревизионную комиссию Общества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454C55" w:rsidRPr="00454C55" w:rsidRDefault="00454C55" w:rsidP="00D0370A">
            <w:pPr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Ф.И.О./наименование акционеров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(-</w:t>
            </w:r>
            <w:proofErr w:type="spellStart"/>
            <w:proofErr w:type="gram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ра</w:t>
            </w:r>
            <w:proofErr w:type="spell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), предложившего кандидатуру для включения в список для голосования по выборам в Ревизионную комиссию Общества</w:t>
            </w:r>
          </w:p>
        </w:tc>
      </w:tr>
      <w:tr w:rsidR="00D0370A" w:rsidRPr="00454C55" w:rsidTr="0084001C">
        <w:trPr>
          <w:trHeight w:val="765"/>
        </w:trPr>
        <w:tc>
          <w:tcPr>
            <w:tcW w:w="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Лихачев Андрей Владимирович</w:t>
            </w:r>
          </w:p>
        </w:tc>
        <w:tc>
          <w:tcPr>
            <w:tcW w:w="39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дирекции аудита розничной деятельности Департамента аудита сбытовых активов</w:t>
            </w:r>
            <w:proofErr w:type="gram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трейдинга Блока внутреннего аудита ПАО «Интер РАО»</w:t>
            </w:r>
          </w:p>
        </w:tc>
        <w:tc>
          <w:tcPr>
            <w:tcW w:w="32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70A" w:rsidRDefault="00D0370A">
            <w:r w:rsidRPr="00FC52BD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84001C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Давыдкин Дмитрий Викторович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Старший аудитор 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дирекции аудита розничной деятельности Департамента аудита сбытовых активов</w:t>
            </w:r>
            <w:proofErr w:type="gram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трейдинга Блока внутреннего аудита ПАО «Интер РАО»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70A" w:rsidRDefault="00D0370A">
            <w:r w:rsidRPr="00FC52BD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84001C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Колпаков Алексей Сергеевич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Аудитор 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дирекции аудита розничной деятельности Департамента аудита сбытовых активов</w:t>
            </w:r>
            <w:proofErr w:type="gram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трейдинга Блока внутреннего аудита ПАО «Интер РАО»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70A" w:rsidRDefault="00D0370A">
            <w:r w:rsidRPr="00FC52BD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84001C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Трегуб Сергей Алексеевич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Старший аудитор дирекц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ии ау</w:t>
            </w:r>
            <w:proofErr w:type="gramEnd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дита сбыта тепловой энергии Департамента аудита сбытовых активов и трейдинга  Блока внутреннего аудита ПАО «Интер РАО»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70A" w:rsidRDefault="00D0370A">
            <w:r w:rsidRPr="00FC52BD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  <w:tr w:rsidR="00D0370A" w:rsidRPr="00454C55" w:rsidTr="0084001C">
        <w:trPr>
          <w:trHeight w:val="76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Ковалев Алексей Николаевич</w:t>
            </w:r>
          </w:p>
        </w:tc>
        <w:tc>
          <w:tcPr>
            <w:tcW w:w="396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0370A" w:rsidRPr="00454C55" w:rsidRDefault="00D0370A" w:rsidP="00D0370A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Руководитель </w:t>
            </w:r>
            <w:proofErr w:type="gramStart"/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>дирекции аудита торговой деятельности Департамента ауди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та сбытовых активов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и трейдинга</w:t>
            </w:r>
            <w:r w:rsidRPr="00454C5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Блока внутреннего аудита ПАО «Интер РАО»</w:t>
            </w:r>
          </w:p>
        </w:tc>
        <w:tc>
          <w:tcPr>
            <w:tcW w:w="32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D0370A" w:rsidRDefault="00D0370A">
            <w:r w:rsidRPr="00FC52BD">
              <w:rPr>
                <w:rFonts w:ascii="Times New Roman" w:eastAsia="Times New Roman" w:hAnsi="Times New Roman" w:cs="Times New Roman"/>
                <w:sz w:val="28"/>
                <w:szCs w:val="28"/>
              </w:rPr>
              <w:t>Публичное акционерное общество «Интер РАО ЕЭС»</w:t>
            </w:r>
          </w:p>
        </w:tc>
      </w:tr>
    </w:tbl>
    <w:p w:rsidR="00454C55" w:rsidRPr="00454C55" w:rsidRDefault="00454C55" w:rsidP="00D0370A">
      <w:pPr>
        <w:spacing w:after="0" w:line="240" w:lineRule="auto"/>
        <w:ind w:firstLine="709"/>
      </w:pPr>
    </w:p>
    <w:p w:rsidR="00454C55" w:rsidRPr="00454C55" w:rsidRDefault="00454C55" w:rsidP="00D0370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454C55">
        <w:br w:type="page"/>
      </w:r>
    </w:p>
    <w:p w:rsidR="00540508" w:rsidRPr="0075381C" w:rsidRDefault="00540508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75381C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</w:p>
    <w:p w:rsidR="00540508" w:rsidRPr="0075381C" w:rsidRDefault="00540508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540508" w:rsidRPr="0075381C" w:rsidRDefault="00540508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538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540508" w:rsidRPr="0075381C" w:rsidRDefault="00540508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538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540508" w:rsidRPr="0075381C" w:rsidRDefault="00540508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75381C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540508" w:rsidRPr="0075381C" w:rsidRDefault="00540508" w:rsidP="00D0370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540508" w:rsidRPr="0075381C" w:rsidRDefault="00540508" w:rsidP="00D0370A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</w:p>
    <w:p w:rsidR="00540508" w:rsidRPr="0075381C" w:rsidRDefault="00540508" w:rsidP="00D0370A">
      <w:pPr>
        <w:shd w:val="clear" w:color="auto" w:fill="FFFFFF"/>
        <w:spacing w:after="0" w:line="240" w:lineRule="auto"/>
        <w:ind w:firstLine="709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538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ВОПРОС 7:</w:t>
      </w:r>
    </w:p>
    <w:p w:rsidR="00540508" w:rsidRPr="0075381C" w:rsidRDefault="00540508" w:rsidP="00D037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538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Об утвержден</w:t>
      </w:r>
      <w:proofErr w:type="gramStart"/>
      <w:r w:rsidRPr="007538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ии ау</w:t>
      </w:r>
      <w:proofErr w:type="gramEnd"/>
      <w:r w:rsidRPr="007538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дитора Общества.</w:t>
      </w:r>
    </w:p>
    <w:p w:rsidR="00540508" w:rsidRPr="0075381C" w:rsidRDefault="00540508" w:rsidP="00D037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</w:p>
    <w:p w:rsidR="00540508" w:rsidRPr="0075381C" w:rsidRDefault="00540508" w:rsidP="00D0370A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</w:pPr>
      <w:r w:rsidRPr="0075381C">
        <w:rPr>
          <w:rFonts w:ascii="Times New Roman" w:eastAsia="Calibri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540508" w:rsidRPr="00540508" w:rsidRDefault="00540508" w:rsidP="00D037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7538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Утвердить аудитором Общества для аудита бухгалтерской (финансовой) отчетности, составленной в соответствии с российскими стандартами бухгалтерского учета по итогам 201</w:t>
      </w:r>
      <w:r w:rsidR="006C48D9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8</w:t>
      </w:r>
      <w:r w:rsidRPr="0075381C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года, Общество с ограниченной ответственностью «Эрнст энд Янг» г. Москва (ОГРН 1027739707203).</w:t>
      </w:r>
    </w:p>
    <w:p w:rsidR="00540508" w:rsidRPr="00540508" w:rsidRDefault="00540508" w:rsidP="00D037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40508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2162F" w:rsidRPr="00E74923" w:rsidRDefault="00D2162F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E74923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</w:p>
    <w:p w:rsidR="00D2162F" w:rsidRPr="00E74923" w:rsidRDefault="00D2162F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D2162F" w:rsidRPr="00E74923" w:rsidRDefault="00D2162F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7492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D2162F" w:rsidRPr="00E74923" w:rsidRDefault="00D2162F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7492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D2162F" w:rsidRPr="00E74923" w:rsidRDefault="00D2162F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7492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D2162F" w:rsidRPr="00E74923" w:rsidRDefault="00D2162F" w:rsidP="00D037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D2162F" w:rsidRPr="00E74923" w:rsidRDefault="00D2162F" w:rsidP="00D037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162F" w:rsidRPr="00E74923" w:rsidRDefault="00D2162F" w:rsidP="00D037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</w:pPr>
      <w:r w:rsidRPr="00E749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 8:</w:t>
      </w:r>
    </w:p>
    <w:p w:rsidR="00D2162F" w:rsidRPr="00E74923" w:rsidRDefault="00042F2A" w:rsidP="00D0370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4923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Об утверждении Устава Публичного акционерного общества «Саратовэнерго» в новой редакции</w:t>
      </w:r>
      <w:r w:rsidR="00D2162F" w:rsidRPr="00E74923">
        <w:rPr>
          <w:rFonts w:ascii="Times New Roman" w:eastAsia="Calibri" w:hAnsi="Times New Roman" w:cs="Times New Roman"/>
          <w:snapToGrid w:val="0"/>
          <w:sz w:val="28"/>
          <w:szCs w:val="28"/>
          <w:lang w:eastAsia="ru-RU"/>
        </w:rPr>
        <w:t>.</w:t>
      </w:r>
    </w:p>
    <w:p w:rsidR="00D2162F" w:rsidRPr="00E74923" w:rsidRDefault="00D2162F" w:rsidP="00D0370A">
      <w:pPr>
        <w:shd w:val="clear" w:color="auto" w:fill="FFFFFF"/>
        <w:spacing w:after="0" w:line="240" w:lineRule="auto"/>
        <w:ind w:right="1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D2162F" w:rsidRPr="00E74923" w:rsidRDefault="00D2162F" w:rsidP="00D0370A">
      <w:pPr>
        <w:shd w:val="clear" w:color="auto" w:fill="FFFFFF"/>
        <w:spacing w:after="0" w:line="240" w:lineRule="auto"/>
        <w:ind w:right="14" w:firstLine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49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D2162F" w:rsidRPr="00E74923" w:rsidRDefault="00D2162F" w:rsidP="00D0370A">
      <w:pPr>
        <w:tabs>
          <w:tab w:val="left" w:pos="993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923">
        <w:rPr>
          <w:rFonts w:ascii="Times New Roman" w:eastAsia="Times New Roman" w:hAnsi="Times New Roman" w:cs="Times New Roman"/>
          <w:sz w:val="28"/>
          <w:szCs w:val="28"/>
          <w:lang w:eastAsia="ru-RU"/>
        </w:rPr>
        <w:t>1. Утвердить Устав Публичного акционерного общества «Саратовэнерго» в новой</w:t>
      </w:r>
      <w:r w:rsidR="00753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редакции.</w:t>
      </w:r>
    </w:p>
    <w:p w:rsidR="00D2162F" w:rsidRPr="00D2162F" w:rsidRDefault="00D2162F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923">
        <w:rPr>
          <w:rFonts w:ascii="Times New Roman" w:eastAsia="Times New Roman" w:hAnsi="Times New Roman" w:cs="Times New Roman"/>
          <w:sz w:val="28"/>
          <w:szCs w:val="28"/>
          <w:lang w:eastAsia="ru-RU"/>
        </w:rPr>
        <w:t>2. Поручить Генеральному директору Общества обеспечить проведение мероприятий, связанных с государственной регистрацией новой редакции Устава Общества</w:t>
      </w:r>
      <w:r w:rsidR="0075381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E74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установленном законом порядке.</w:t>
      </w:r>
    </w:p>
    <w:p w:rsidR="00D2162F" w:rsidRDefault="00D2162F" w:rsidP="00D0370A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2162F" w:rsidRPr="00D2162F" w:rsidRDefault="00D2162F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</w:p>
    <w:p w:rsidR="00D2162F" w:rsidRPr="00D2162F" w:rsidRDefault="00D2162F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D2162F" w:rsidRPr="00D2162F" w:rsidRDefault="00D2162F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D2162F" w:rsidRPr="00D2162F" w:rsidRDefault="00D2162F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D2162F" w:rsidRPr="00D2162F" w:rsidRDefault="00D2162F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D2162F" w:rsidRPr="00D2162F" w:rsidRDefault="00D2162F" w:rsidP="00D03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162F" w:rsidRPr="00D2162F" w:rsidRDefault="00D2162F" w:rsidP="00D037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</w:p>
    <w:p w:rsidR="00D2162F" w:rsidRPr="00D2162F" w:rsidRDefault="00D2162F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D2162F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ВОПРОС 9:</w:t>
      </w:r>
    </w:p>
    <w:p w:rsidR="00D2162F" w:rsidRPr="00D2162F" w:rsidRDefault="00D2162F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D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Об утверждении Положения о порядке созыва и проведения заседаний Совета директоров Публичного акционерного общества «Саратовэнерго» в новой редакции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162F" w:rsidRPr="00D2162F" w:rsidRDefault="00D2162F" w:rsidP="00D037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62F" w:rsidRPr="00D2162F" w:rsidRDefault="00D2162F" w:rsidP="00D0370A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62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РЕШЕНИЕ:</w:t>
      </w:r>
    </w:p>
    <w:p w:rsidR="00D2162F" w:rsidRPr="00D2162F" w:rsidRDefault="00D2162F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62F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D2162F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Утвердить Положение о порядке созыва и проведения заседаний Совета директоров Публичного акционерного общества «Саратовэнерго» в новой</w:t>
      </w:r>
      <w:r w:rsidR="007538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редакции.</w:t>
      </w:r>
    </w:p>
    <w:p w:rsidR="00D2162F" w:rsidRPr="00D2162F" w:rsidRDefault="00D2162F" w:rsidP="00D0370A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62F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D216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en-US" w:eastAsia="ru-RU"/>
        </w:rPr>
        <w:t> </w:t>
      </w:r>
      <w:r w:rsidRPr="00D2162F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Признать утратившим силу Положение о порядке созыва и проведения заседаний Совета директоров </w:t>
      </w:r>
      <w:r w:rsidRPr="00D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Публичного акционерного общества «Саратовэнерго», утвержденное годовым Общим собранием акционеров 25.05.2017 (Протокол от 25.05.2017 г. № 40).</w:t>
      </w:r>
    </w:p>
    <w:p w:rsidR="00D2162F" w:rsidRPr="00D2162F" w:rsidRDefault="00D2162F" w:rsidP="00D0370A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62F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:rsidR="00D2162F" w:rsidRPr="00E74923" w:rsidRDefault="00D2162F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E74923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</w:p>
    <w:p w:rsidR="00D2162F" w:rsidRPr="00E74923" w:rsidRDefault="00D2162F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D2162F" w:rsidRPr="00E74923" w:rsidRDefault="00D2162F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7492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D2162F" w:rsidRPr="00E74923" w:rsidRDefault="00D2162F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7492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D2162F" w:rsidRPr="00E74923" w:rsidRDefault="00D2162F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E74923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D2162F" w:rsidRPr="00E74923" w:rsidRDefault="00D2162F" w:rsidP="00D037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62F" w:rsidRPr="00D2162F" w:rsidRDefault="00D2162F" w:rsidP="00D0370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D2162F" w:rsidRPr="00E74923" w:rsidRDefault="00D2162F" w:rsidP="00D0370A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7492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ВОПРОС 10: </w:t>
      </w:r>
    </w:p>
    <w:p w:rsidR="00D2162F" w:rsidRPr="00D2162F" w:rsidRDefault="00E74923" w:rsidP="00D0370A">
      <w:pPr>
        <w:suppressAutoHyphens/>
        <w:spacing w:after="0" w:line="240" w:lineRule="auto"/>
        <w:ind w:right="7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 w:rsidRPr="00E7492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 одобрении </w:t>
      </w:r>
      <w:r w:rsidRPr="00E74923">
        <w:rPr>
          <w:rFonts w:ascii="Times New Roman" w:eastAsia="Times New Roman" w:hAnsi="Times New Roman" w:cs="Times New Roman"/>
          <w:sz w:val="28"/>
          <w:szCs w:val="28"/>
          <w:lang w:eastAsia="ru-RU"/>
        </w:rPr>
        <w:t>участия</w:t>
      </w:r>
      <w:r w:rsidR="00C9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Общества в СРО Ассоциации</w:t>
      </w:r>
      <w:r w:rsidRPr="005A4C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«Объединение строителей Саратовской области».</w:t>
      </w:r>
    </w:p>
    <w:p w:rsidR="00D2162F" w:rsidRPr="00D2162F" w:rsidRDefault="00D2162F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color w:val="000000"/>
          <w:sz w:val="28"/>
          <w:szCs w:val="28"/>
          <w:highlight w:val="yellow"/>
          <w:lang w:eastAsia="ru-RU"/>
        </w:rPr>
      </w:pPr>
    </w:p>
    <w:p w:rsidR="00D2162F" w:rsidRPr="00E74923" w:rsidRDefault="00D2162F" w:rsidP="00D0370A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E7492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РЕШЕНИЕ:</w:t>
      </w:r>
    </w:p>
    <w:p w:rsidR="00D2162F" w:rsidRPr="00C9654A" w:rsidRDefault="00E74923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7492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Одобрить участие Общества в СРО Ассоциаци</w:t>
      </w:r>
      <w:r w:rsidR="00C9654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E749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«Объединение </w:t>
      </w:r>
      <w:r w:rsidRPr="00C9654A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строителей Саратовской области» на условиях, определенных Уставом, иными внутренними документами и решениями органов управления Ассоциаци</w:t>
      </w:r>
      <w:r w:rsidR="00C9654A" w:rsidRPr="00C9654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C965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«Объединение строителей Саратовской области».</w:t>
      </w:r>
    </w:p>
    <w:p w:rsidR="00D2162F" w:rsidRPr="00C9654A" w:rsidRDefault="00D2162F" w:rsidP="00D0370A">
      <w:pPr>
        <w:spacing w:after="0" w:line="240" w:lineRule="auto"/>
      </w:pPr>
      <w:r w:rsidRPr="00C9654A">
        <w:br w:type="page"/>
      </w:r>
    </w:p>
    <w:p w:rsidR="00D2162F" w:rsidRPr="00D2162F" w:rsidRDefault="00D2162F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</w:p>
    <w:p w:rsidR="00D2162F" w:rsidRPr="00D2162F" w:rsidRDefault="00D2162F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D2162F" w:rsidRPr="00D2162F" w:rsidRDefault="00D2162F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D2162F" w:rsidRPr="00D2162F" w:rsidRDefault="00D2162F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D2162F" w:rsidRPr="00D2162F" w:rsidRDefault="00D2162F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D2162F" w:rsidRPr="00D2162F" w:rsidRDefault="00D2162F" w:rsidP="00D0370A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</w:p>
    <w:p w:rsidR="00D2162F" w:rsidRPr="00D2162F" w:rsidRDefault="00D2162F" w:rsidP="00D0370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2162F" w:rsidRPr="00D2162F" w:rsidRDefault="00D2162F" w:rsidP="00D0370A">
      <w:pPr>
        <w:shd w:val="clear" w:color="auto" w:fill="FFFFFF"/>
        <w:tabs>
          <w:tab w:val="left" w:pos="0"/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2162F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eastAsia="ru-RU"/>
        </w:rPr>
        <w:t xml:space="preserve">ВОПРОС 11: </w:t>
      </w:r>
      <w:r w:rsidRPr="00D2162F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признании утратившим силу внутреннего документа Общества.</w:t>
      </w:r>
    </w:p>
    <w:p w:rsidR="00D2162F" w:rsidRPr="00D2162F" w:rsidRDefault="00D2162F" w:rsidP="00D0370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napToGrid w:val="0"/>
          <w:color w:val="000000"/>
          <w:sz w:val="28"/>
          <w:szCs w:val="28"/>
          <w:lang w:eastAsia="ru-RU"/>
        </w:rPr>
      </w:pPr>
    </w:p>
    <w:p w:rsidR="00D2162F" w:rsidRPr="00D2162F" w:rsidRDefault="00D2162F" w:rsidP="00D0370A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162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РЕШЕНИЕ:</w:t>
      </w:r>
    </w:p>
    <w:p w:rsidR="00D2162F" w:rsidRPr="00D2162F" w:rsidRDefault="00D2162F" w:rsidP="00D0370A">
      <w:pPr>
        <w:shd w:val="clear" w:color="auto" w:fill="FFFFFF"/>
        <w:tabs>
          <w:tab w:val="left" w:pos="0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D2162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Признать утратившим силу Положение «О выплате членам Совета директоров ОАО «Саратовэнерго» вознаграждений и компенсаций», утвержденное решением годового Общего собрания акционеров ОАО «Саратовэнерго» от 12.05.2009 г. (Протокол от 18.05.2009 г. № 25), </w:t>
      </w:r>
      <w:proofErr w:type="gramStart"/>
      <w:r w:rsidRPr="00D2162F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принятия</w:t>
      </w:r>
      <w:proofErr w:type="gramEnd"/>
      <w:r w:rsidRPr="00D2162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решения.</w:t>
      </w:r>
    </w:p>
    <w:p w:rsidR="003E3E2F" w:rsidRDefault="003E3E2F" w:rsidP="00D0370A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75381C" w:rsidRPr="00D2162F" w:rsidRDefault="0075381C" w:rsidP="00D0370A">
      <w:pPr>
        <w:numPr>
          <w:ilvl w:val="1"/>
          <w:numId w:val="0"/>
        </w:numPr>
        <w:spacing w:after="0" w:line="240" w:lineRule="auto"/>
        <w:jc w:val="right"/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iCs/>
          <w:spacing w:val="15"/>
          <w:sz w:val="28"/>
          <w:szCs w:val="24"/>
          <w:lang w:eastAsia="ru-RU"/>
        </w:rPr>
        <w:lastRenderedPageBreak/>
        <w:t>ПРОЕКТ</w:t>
      </w:r>
    </w:p>
    <w:p w:rsidR="0075381C" w:rsidRPr="00D2162F" w:rsidRDefault="0075381C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</w:p>
    <w:p w:rsidR="0075381C" w:rsidRPr="00D2162F" w:rsidRDefault="0075381C" w:rsidP="00D0370A">
      <w:pPr>
        <w:shd w:val="clear" w:color="auto" w:fill="FFFFFF"/>
        <w:spacing w:after="0" w:line="240" w:lineRule="auto"/>
        <w:ind w:left="1667" w:right="1440" w:firstLine="2319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РЕШЕНИЕ</w:t>
      </w:r>
    </w:p>
    <w:p w:rsidR="0075381C" w:rsidRPr="00D2162F" w:rsidRDefault="0075381C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по вопросам повестки дня годового Общего собрания акционеров Публичного акционерного общества «Саратовэнерго»</w:t>
      </w:r>
    </w:p>
    <w:p w:rsidR="0075381C" w:rsidRPr="00D2162F" w:rsidRDefault="0075381C" w:rsidP="00D0370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</w:pPr>
      <w:r w:rsidRPr="00D2162F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>(ПАО «Саратовэнерго»)</w:t>
      </w:r>
    </w:p>
    <w:p w:rsidR="0075381C" w:rsidRDefault="0075381C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5381C" w:rsidRDefault="0075381C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E3E2F" w:rsidRPr="00B348B4" w:rsidRDefault="003E3E2F" w:rsidP="00D0370A">
      <w:pPr>
        <w:shd w:val="clear" w:color="auto" w:fill="FFFFFF"/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 12:</w:t>
      </w:r>
    </w:p>
    <w:p w:rsidR="003E3E2F" w:rsidRDefault="003E3E2F" w:rsidP="00D037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/>
        </w:rPr>
      </w:pPr>
      <w:r w:rsidRPr="00B348B4">
        <w:rPr>
          <w:rFonts w:ascii="Times New Roman" w:hAnsi="Times New Roman"/>
          <w:bCs/>
          <w:sz w:val="28"/>
          <w:szCs w:val="28"/>
          <w:lang w:eastAsia="hi-IN"/>
        </w:rPr>
        <w:t>О согласии на совершение сделок, в совершении которых имеется заинтересованность.</w:t>
      </w:r>
    </w:p>
    <w:p w:rsidR="00E77F11" w:rsidRDefault="00E77F11" w:rsidP="00D0370A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lang w:eastAsia="hi-IN"/>
        </w:rPr>
      </w:pPr>
    </w:p>
    <w:p w:rsidR="00761F6D" w:rsidRPr="00761F6D" w:rsidRDefault="00761F6D" w:rsidP="00D0370A">
      <w:pPr>
        <w:shd w:val="clear" w:color="auto" w:fill="FFFFFF"/>
        <w:spacing w:after="0" w:line="240" w:lineRule="auto"/>
        <w:ind w:right="14"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РЕШЕНИЕ:</w:t>
      </w:r>
    </w:p>
    <w:p w:rsidR="00761F6D" w:rsidRPr="00761F6D" w:rsidRDefault="00761F6D" w:rsidP="00D0370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</w:t>
      </w: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</w:t>
      </w: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согласие на совершение сделки (заключение дополни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тельного соглашения к договору </w:t>
      </w: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займа № 1 от 29.08.2017 г.)  между ПАО «Интер РАО» и ПАО «Саратовэнерго» как сделки, в совершении которо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  имеется заинтересованность, </w:t>
      </w: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следующих существенных условиях:</w:t>
      </w:r>
    </w:p>
    <w:p w:rsidR="00761F6D" w:rsidRPr="00761F6D" w:rsidRDefault="00761F6D" w:rsidP="00D0370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 договора:</w:t>
      </w:r>
    </w:p>
    <w:p w:rsidR="00761F6D" w:rsidRPr="00761F6D" w:rsidRDefault="00761F6D" w:rsidP="00D0370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ПАО «Интер РАО» - Заимодавец;</w:t>
      </w:r>
    </w:p>
    <w:p w:rsidR="00761F6D" w:rsidRPr="00761F6D" w:rsidRDefault="00761F6D" w:rsidP="00D0370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ПАО «Саратовэнерго» - Заемщик.</w:t>
      </w:r>
    </w:p>
    <w:p w:rsidR="0075381C" w:rsidRDefault="00761F6D" w:rsidP="00D0370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Лицом, заинтересованным в совершении Обществом сделки является – ПАО «Интер РАО», имеющее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управления.</w:t>
      </w:r>
    </w:p>
    <w:p w:rsidR="00761F6D" w:rsidRPr="00761F6D" w:rsidRDefault="00761F6D" w:rsidP="00D0370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Договора:</w:t>
      </w:r>
    </w:p>
    <w:p w:rsidR="00761F6D" w:rsidRPr="00761F6D" w:rsidRDefault="00761F6D" w:rsidP="00D0370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Займодавец передает в собственность Заемщика денежные средства (далее - Заем) в рублях РФ, а Заемщик обязуется возвратить Займодавцу указанную сумму денежных средств, а также проценты, начисляемые в соответствии с условиями Договора.</w:t>
      </w:r>
    </w:p>
    <w:p w:rsidR="00761F6D" w:rsidRPr="00761F6D" w:rsidRDefault="00761F6D" w:rsidP="00D0370A">
      <w:pPr>
        <w:shd w:val="clear" w:color="auto" w:fill="FFFFFF" w:themeFill="background1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Цена по Договору в редакции дополнительного соглашения: </w:t>
      </w:r>
    </w:p>
    <w:p w:rsidR="00761F6D" w:rsidRPr="00761F6D" w:rsidRDefault="00761F6D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Цена по Договору с учетом процентов за весь период действия Договора составляет не более 1 716 930 000 (Один миллиард семьсот шестнадцать миллионов девятьсот тридцать тысяч) рублей.</w:t>
      </w:r>
    </w:p>
    <w:p w:rsidR="00761F6D" w:rsidRPr="00761F6D" w:rsidRDefault="00761F6D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Общий размер единовременной задолженности в соответствии с Договором в редакции дополнительного соглашения не может превышать 1 350 000 000 (Один миллиард три</w:t>
      </w:r>
      <w:r w:rsidR="00022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ста пятьдесят миллионов) рублей.</w:t>
      </w:r>
    </w:p>
    <w:p w:rsidR="00761F6D" w:rsidRPr="00761F6D" w:rsidRDefault="00761F6D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Сумма Займа предоставляется Заемщику сроком не более чем на 1 (один) рабочий день, начиная </w:t>
      </w:r>
      <w:proofErr w:type="gramStart"/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</w:t>
      </w:r>
      <w:proofErr w:type="gramEnd"/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первого предоставления Займа Займодавцем в соответствии с Договором. Срок предоставления Займа может быть измен</w:t>
      </w:r>
      <w:r w:rsidR="00022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 по соглашению Сторон. Сумма З</w:t>
      </w: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айма и проценты могут быть возвращены досрочно с предварительным уведомлением Займодавца.</w:t>
      </w:r>
    </w:p>
    <w:p w:rsidR="00761F6D" w:rsidRPr="00761F6D" w:rsidRDefault="00761F6D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Процентная ставка за пользование Займом определяется по соглашению сторон в день предоставления Займа. Займодавец вправе в одностороннем порядке изменить п</w:t>
      </w:r>
      <w:r w:rsidR="00022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роцентную ставку за пользование</w:t>
      </w: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Займом, </w:t>
      </w:r>
      <w:r w:rsidRPr="00761F6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при этом размер</w:t>
      </w:r>
      <w:r w:rsidRPr="00761F6D">
        <w:rPr>
          <w:rFonts w:ascii="Times New Roman" w:eastAsia="Times New Roman" w:hAnsi="Times New Roman" w:cs="Times New Roman"/>
          <w:color w:val="FF0000"/>
          <w:spacing w:val="-3"/>
          <w:sz w:val="28"/>
          <w:szCs w:val="28"/>
          <w:lang w:eastAsia="ru-RU"/>
        </w:rPr>
        <w:t xml:space="preserve"> </w:t>
      </w:r>
      <w:r w:rsidRPr="00761F6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процентной ставки </w:t>
      </w:r>
      <w:r w:rsidRPr="00761F6D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ru-RU"/>
        </w:rPr>
        <w:t>не может быть ниже Ключевой ставки ЦБ РФ</w:t>
      </w: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Об изменении процентной ставки по </w:t>
      </w:r>
      <w:r w:rsidR="00022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Займу Займодавец уведомляет Зае</w:t>
      </w: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мщика в письменной форме не менее чем за 1 день до ее введения. </w:t>
      </w:r>
    </w:p>
    <w:p w:rsidR="00761F6D" w:rsidRPr="00761F6D" w:rsidRDefault="00761F6D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Начисление процентов в рамках Договора осуществляется ежедневно. Заемщик обязан выплачивать проценты на сумму предоставленного Займа ежемесячно не позднее 5-го числа месяца, следующего за расчетным, в размере, предусмотренном Договором.</w:t>
      </w:r>
    </w:p>
    <w:p w:rsidR="00761F6D" w:rsidRPr="00761F6D" w:rsidRDefault="00761F6D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Договора:</w:t>
      </w:r>
    </w:p>
    <w:p w:rsidR="00761F6D" w:rsidRPr="00761F6D" w:rsidRDefault="00761F6D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61F6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Договор вступает в силу </w:t>
      </w:r>
      <w:proofErr w:type="gramStart"/>
      <w:r w:rsidRPr="00761F6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 даты</w:t>
      </w:r>
      <w:proofErr w:type="gramEnd"/>
      <w:r w:rsidRPr="00761F6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первого предоставления суммы Займа и действует до полного выполнения Сторонами своих обязательств по  Договору.</w:t>
      </w: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Окончательная дата возврата займа: не позднее 3-х (трех) лет </w:t>
      </w:r>
      <w:proofErr w:type="gramStart"/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</w:t>
      </w:r>
      <w:proofErr w:type="gramEnd"/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первого предоставления Займа Займодавцем в соответствии с Договором.</w:t>
      </w:r>
    </w:p>
    <w:p w:rsidR="00761F6D" w:rsidRPr="00761F6D" w:rsidRDefault="00761F6D" w:rsidP="00D037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Займодавец вправе в одностороннем и внесудебном порядке отказаться от исполнен</w:t>
      </w:r>
      <w:r w:rsidR="000228F9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Договора и потребовать от Зае</w:t>
      </w:r>
      <w:r w:rsidRPr="00761F6D">
        <w:rPr>
          <w:rFonts w:ascii="Times New Roman" w:eastAsia="Times New Roman" w:hAnsi="Times New Roman" w:cs="Times New Roman"/>
          <w:sz w:val="28"/>
          <w:szCs w:val="28"/>
          <w:lang w:eastAsia="ru-RU"/>
        </w:rPr>
        <w:t>мщика незамедлительного возвра</w:t>
      </w:r>
      <w:r w:rsidR="000228F9">
        <w:rPr>
          <w:rFonts w:ascii="Times New Roman" w:eastAsia="Times New Roman" w:hAnsi="Times New Roman" w:cs="Times New Roman"/>
          <w:sz w:val="28"/>
          <w:szCs w:val="28"/>
          <w:lang w:eastAsia="ru-RU"/>
        </w:rPr>
        <w:t>та задолженности и процентов</w:t>
      </w:r>
      <w:r w:rsidRPr="00761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Займам. Договор считается расторгнутым с даты, указанной в уведомлении Займодавца об отказе от исполнения Договора, но не ранее 30 дней </w:t>
      </w:r>
      <w:proofErr w:type="gramStart"/>
      <w:r w:rsidRPr="00761F6D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761F6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Заемщиком уведомления Займодавца.</w:t>
      </w:r>
    </w:p>
    <w:p w:rsidR="00761F6D" w:rsidRPr="00761F6D" w:rsidRDefault="00761F6D" w:rsidP="00D037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действия дополнительного Соглашения:</w:t>
      </w:r>
    </w:p>
    <w:p w:rsidR="00761F6D" w:rsidRPr="00761F6D" w:rsidRDefault="00761F6D" w:rsidP="00D0370A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61F6D">
        <w:rPr>
          <w:rFonts w:ascii="Times New Roman" w:hAnsi="Times New Roman" w:cs="Times New Roman"/>
          <w:sz w:val="28"/>
          <w:szCs w:val="28"/>
        </w:rPr>
        <w:t>Соглашение вступает в силу с момента его подписания Сторонами и является неотъемлемой частью Договора.</w:t>
      </w:r>
    </w:p>
    <w:p w:rsidR="00761F6D" w:rsidRPr="00761F6D" w:rsidRDefault="00761F6D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существенные условия Договора:</w:t>
      </w:r>
    </w:p>
    <w:p w:rsidR="00761F6D" w:rsidRPr="00761F6D" w:rsidRDefault="00761F6D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условиям Договора  займа комиссии за сопровождение займа не предусмотрены.</w:t>
      </w:r>
    </w:p>
    <w:p w:rsidR="00761F6D" w:rsidRPr="00761F6D" w:rsidRDefault="00761F6D" w:rsidP="00D0370A">
      <w:pPr>
        <w:widowControl w:val="0"/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proofErr w:type="gramStart"/>
      <w:r w:rsidRPr="00761F6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 случае невозвращения и/или несвоевременного возвращения суммы Займа и/или части Займа и/или процентов на него, а также несвоевременной оплаты иных обязательных платежей в срок Заемщик обязуется, независимо от уплаты процентов, предусмотренных Договором за пользование Займом, по требованию Заимодавца уплатить пени в размере 0,1% от суммы задолженности за каждый день просрочки платежа.</w:t>
      </w:r>
      <w:proofErr w:type="gramEnd"/>
    </w:p>
    <w:p w:rsidR="003E3E2F" w:rsidRDefault="00761F6D" w:rsidP="00D0370A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761F6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Обязательства по уплате задолженности по возврату Займа и (или) по уплате процентов, возникшей в связи с предоставлением Займа по Заявке, могут быть </w:t>
      </w:r>
      <w:r w:rsidR="000228F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прекращены заменой на заемное обязательство, которое Зае</w:t>
      </w:r>
      <w:r w:rsidRPr="00761F6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мщик будет обязан исполнит</w:t>
      </w:r>
      <w:r w:rsidR="000228F9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ь на условиях  Займа по утвержде</w:t>
      </w:r>
      <w:r w:rsidRPr="00761F6D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нной Займодавцем Заявке.</w:t>
      </w:r>
    </w:p>
    <w:p w:rsidR="000228F9" w:rsidRDefault="000228F9" w:rsidP="00D0370A">
      <w:pPr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348B4" w:rsidRPr="00B348B4" w:rsidRDefault="00B348B4" w:rsidP="00D0370A">
      <w:pPr>
        <w:tabs>
          <w:tab w:val="left" w:pos="1560"/>
        </w:tabs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12.2. Д</w:t>
      </w: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ать согласие на совершение сделки (заключение дополни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тельного соглашения к договору </w:t>
      </w: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займа № 2 от 29.08.2017 г.) между ПАО «Интер РАО» и ПАО «Саратовэнерго»  как сделки, в совершении которой  имеется заинтересованность, на следующих существенных условиях: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Стороны договора:</w:t>
      </w:r>
    </w:p>
    <w:p w:rsidR="00B348B4" w:rsidRPr="000228F9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ПАО «Интер РАО» - Заемщик</w:t>
      </w:r>
      <w:r w:rsidR="000228F9" w:rsidRPr="00022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</w:t>
      </w:r>
      <w:r w:rsidR="00022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АО «Саратовэнерго» - Заимодавец.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Лицом, заинтересованным в со</w:t>
      </w:r>
      <w:r w:rsidR="00022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вершении сделки Обществом</w:t>
      </w: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является ПАО «Интер РАО», имеющее право прямо или косвенно (через подконтрольных ему лиц) распоряжаться в силу участия в ПАО «Саратовэнерго» более 50 процентами голосов в высшем органе управления (выгодоприобретатель по сделке)</w:t>
      </w:r>
      <w:r w:rsidR="000228F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 Договора: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Займодавец передает в собственность Заемщика денежные средства (далее – Заем) в рублях РФ, а Заемщик обязуется возвратить Займодавцу указанную сумму денежных средств, а также проценты, начисляемые в соответствии с условиями Договора.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Цена по Договору в редакции дополнительного соглашения: 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Цена по Договору с учетом процентов за весь период действия Договора составляет не более 1 643 625 000 (Один миллиард шестьсот сорок три миллиона шестьсот двадцать пять тысяч) рублей.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Общий размер единовременной задолженности в соответствии с Договором в редакции дополнительного соглашения не может превышать 1 350 000 000 (Один миллиард триста пятьдесят миллионов) рублей. 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Сумма Займа предоставляется Заемщику сроком не более чем на 1 (один) рабочий день, начиная </w:t>
      </w:r>
      <w:proofErr w:type="gramStart"/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</w:t>
      </w:r>
      <w:proofErr w:type="gramEnd"/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первого предоставления Займа Займодавцем в соответствии с Договором. Срок предоставления Займа может</w:t>
      </w:r>
    </w:p>
    <w:p w:rsidR="00B348B4" w:rsidRPr="00B348B4" w:rsidRDefault="00B348B4" w:rsidP="00D0370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быть </w:t>
      </w:r>
      <w:proofErr w:type="gramStart"/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</w:t>
      </w:r>
      <w:r w:rsidR="0058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ен</w:t>
      </w:r>
      <w:proofErr w:type="gramEnd"/>
      <w:r w:rsidR="0058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соглашению Сторон. Сумма З</w:t>
      </w: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айма и проценты могут быть возвращены досрочно с предварительным уведомлением Займодавца.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Процентная ставка за пользование Займом определяется по соглашению сторон в день предоставления Займа. Займодавец вправе в одностороннем порядке изменить п</w:t>
      </w:r>
      <w:r w:rsidR="00582D7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роцентную ставку за пользование</w:t>
      </w: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Займом, при этом максимальный размер процентной ставки не может быть выше Ключевой ставки ЦБ РФ. Об изменении процентной ставки по</w:t>
      </w:r>
      <w:r w:rsidR="002F418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Займу Займодавец уведомляет Зае</w:t>
      </w: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мщика в письменной форме не менее чем за 1 день до ее введения. 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Начисление процентов в рамках Договора осуществляется ежедневно. Заемщик обязан выплачивать проценты на сумму предоставленного Займа ежемесячно не позднее 5-го числа месяца, следующего за расчетным, в размере, предусмотренном Договором.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Срок Договора: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48B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Договор вступает в силу </w:t>
      </w:r>
      <w:proofErr w:type="gramStart"/>
      <w:r w:rsidRPr="00B348B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с даты</w:t>
      </w:r>
      <w:proofErr w:type="gramEnd"/>
      <w:r w:rsidRPr="00B348B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 xml:space="preserve"> первого предоставления суммы Займа и действует до полного выполнения Сторонами своих обязательств по  Договору.</w:t>
      </w: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Окончательная дата возврата займа: не позднее 3-х (трех) лет </w:t>
      </w:r>
      <w:proofErr w:type="gramStart"/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 даты</w:t>
      </w:r>
      <w:proofErr w:type="gramEnd"/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первого предоставления Займа Займодавцем в соответствии с Договором.</w:t>
      </w:r>
    </w:p>
    <w:p w:rsidR="00B348B4" w:rsidRPr="00B348B4" w:rsidRDefault="00B348B4" w:rsidP="00D03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Займодавец вправе в одностороннем и внесудебном порядке отказаться от исполнен</w:t>
      </w:r>
      <w:r w:rsidR="002F4188">
        <w:rPr>
          <w:rFonts w:ascii="Times New Roman" w:eastAsia="Times New Roman" w:hAnsi="Times New Roman" w:cs="Times New Roman"/>
          <w:sz w:val="28"/>
          <w:szCs w:val="28"/>
          <w:lang w:eastAsia="ru-RU"/>
        </w:rPr>
        <w:t>ия Договора и потребовать от Зае</w:t>
      </w:r>
      <w:r w:rsidRPr="00B348B4">
        <w:rPr>
          <w:rFonts w:ascii="Times New Roman" w:eastAsia="Times New Roman" w:hAnsi="Times New Roman" w:cs="Times New Roman"/>
          <w:sz w:val="28"/>
          <w:szCs w:val="28"/>
          <w:lang w:eastAsia="ru-RU"/>
        </w:rPr>
        <w:t>мщика незамедлительного во</w:t>
      </w:r>
      <w:r w:rsidR="002F4188">
        <w:rPr>
          <w:rFonts w:ascii="Times New Roman" w:eastAsia="Times New Roman" w:hAnsi="Times New Roman" w:cs="Times New Roman"/>
          <w:sz w:val="28"/>
          <w:szCs w:val="28"/>
          <w:lang w:eastAsia="ru-RU"/>
        </w:rPr>
        <w:t>зврата задолженности и процентов</w:t>
      </w:r>
      <w:r w:rsidRPr="00B3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Займам. Договор считается расторгнутым с даты, указанной в уведомлении Займодавца об отказе от исполнения Договора, но не ранее 30 дней </w:t>
      </w:r>
      <w:proofErr w:type="gramStart"/>
      <w:r w:rsidRPr="00B348B4">
        <w:rPr>
          <w:rFonts w:ascii="Times New Roman" w:eastAsia="Times New Roman" w:hAnsi="Times New Roman" w:cs="Times New Roman"/>
          <w:sz w:val="28"/>
          <w:szCs w:val="28"/>
          <w:lang w:eastAsia="ru-RU"/>
        </w:rPr>
        <w:t>с даты получения</w:t>
      </w:r>
      <w:proofErr w:type="gramEnd"/>
      <w:r w:rsidRPr="00B348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Заемщиком уведомления Займодавца.</w:t>
      </w:r>
    </w:p>
    <w:p w:rsidR="00B348B4" w:rsidRPr="00B348B4" w:rsidRDefault="00B348B4" w:rsidP="00D03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действия дополнительного Соглашения:</w:t>
      </w:r>
    </w:p>
    <w:p w:rsidR="00B348B4" w:rsidRPr="00B348B4" w:rsidRDefault="00B348B4" w:rsidP="00D0370A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348B4">
        <w:rPr>
          <w:rFonts w:ascii="Times New Roman" w:hAnsi="Times New Roman" w:cs="Times New Roman"/>
          <w:sz w:val="28"/>
          <w:szCs w:val="28"/>
        </w:rPr>
        <w:lastRenderedPageBreak/>
        <w:t>Соглашение вступает в силу с момента его подписания Сторонами и является неотъемлемой частью Договора.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Иные существенные условия Договора:</w:t>
      </w:r>
    </w:p>
    <w:p w:rsidR="00B348B4" w:rsidRPr="00B348B4" w:rsidRDefault="00B348B4" w:rsidP="00D0370A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Согласно условиям Договора  займа комиссии за сопровождение займа не предусмотрены.</w:t>
      </w:r>
    </w:p>
    <w:p w:rsidR="00B348B4" w:rsidRPr="00B348B4" w:rsidRDefault="00B348B4" w:rsidP="00D0370A">
      <w:pPr>
        <w:widowControl w:val="0"/>
        <w:shd w:val="clear" w:color="auto" w:fill="FFFFFF"/>
        <w:tabs>
          <w:tab w:val="left" w:pos="567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348B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В случае невозвращения и/или несвоевременного возвращения суммы Займа и/или части Займа и/или процентов на него, а также несвоевременной оплаты иных обязательных платежей в срок Заемщик обязуется, независимо от уплаты процентов, предусмотренных Договором за пользование Займом, по требованию Заимодавца уплатить пени в размере 0,1% от суммы задолженности за каждый день просрочки платежа.</w:t>
      </w:r>
      <w:proofErr w:type="gramEnd"/>
    </w:p>
    <w:p w:rsidR="00B348B4" w:rsidRPr="00B348B4" w:rsidRDefault="00B348B4" w:rsidP="00D0370A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</w:pPr>
      <w:r w:rsidRPr="00B348B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Обязательства по уплате задолженности по возврату Займа и (или) по уплате процентов, возникшей в связи с предоставлением Займа по Заявке, могу</w:t>
      </w:r>
      <w:r w:rsidR="002F418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 быть прекращены заменой на заемное обязательство, которое Зае</w:t>
      </w:r>
      <w:r w:rsidRPr="00B348B4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мщик будет обязан исполнить на условиях Займа по у</w:t>
      </w:r>
      <w:r w:rsidR="002F4188"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твержде</w:t>
      </w:r>
      <w:r>
        <w:rPr>
          <w:rFonts w:ascii="Times New Roman" w:eastAsia="Times New Roman" w:hAnsi="Times New Roman" w:cs="Times New Roman"/>
          <w:spacing w:val="-3"/>
          <w:sz w:val="28"/>
          <w:szCs w:val="28"/>
          <w:lang w:eastAsia="ru-RU"/>
        </w:rPr>
        <w:t>нной Займодавцем Заявке.</w:t>
      </w:r>
    </w:p>
    <w:p w:rsidR="00B348B4" w:rsidRPr="003E3E2F" w:rsidRDefault="00B348B4" w:rsidP="00D0370A">
      <w:pPr>
        <w:spacing w:after="0" w:line="240" w:lineRule="auto"/>
        <w:ind w:firstLine="720"/>
        <w:jc w:val="both"/>
        <w:rPr>
          <w:rFonts w:ascii="Times New Roman" w:hAnsi="Times New Roman"/>
          <w:bCs/>
          <w:sz w:val="28"/>
          <w:szCs w:val="28"/>
          <w:lang w:eastAsia="hi-IN"/>
        </w:rPr>
      </w:pPr>
    </w:p>
    <w:sectPr w:rsidR="00B348B4" w:rsidRPr="003E3E2F" w:rsidSect="007538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C55"/>
    <w:rsid w:val="000228F9"/>
    <w:rsid w:val="00042F2A"/>
    <w:rsid w:val="00104A39"/>
    <w:rsid w:val="001C0581"/>
    <w:rsid w:val="00257202"/>
    <w:rsid w:val="002F4188"/>
    <w:rsid w:val="0039785E"/>
    <w:rsid w:val="003E3E2F"/>
    <w:rsid w:val="00454C55"/>
    <w:rsid w:val="004D207C"/>
    <w:rsid w:val="004E36CD"/>
    <w:rsid w:val="00540508"/>
    <w:rsid w:val="00582D76"/>
    <w:rsid w:val="006C48D9"/>
    <w:rsid w:val="0075381C"/>
    <w:rsid w:val="00761F6D"/>
    <w:rsid w:val="00A23D27"/>
    <w:rsid w:val="00A95193"/>
    <w:rsid w:val="00AA3991"/>
    <w:rsid w:val="00B348B4"/>
    <w:rsid w:val="00B542C2"/>
    <w:rsid w:val="00C93942"/>
    <w:rsid w:val="00C9654A"/>
    <w:rsid w:val="00D0370A"/>
    <w:rsid w:val="00D2162F"/>
    <w:rsid w:val="00D21856"/>
    <w:rsid w:val="00E36160"/>
    <w:rsid w:val="00E74923"/>
    <w:rsid w:val="00E77F11"/>
    <w:rsid w:val="00FC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4C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18</Pages>
  <Words>2607</Words>
  <Characters>14866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Ковалерова Анастасия Александровна</dc:creator>
  <cp:lastModifiedBy>Ковалерова Анастасия Александровна</cp:lastModifiedBy>
  <cp:revision>5</cp:revision>
  <dcterms:created xsi:type="dcterms:W3CDTF">2018-04-18T10:46:00Z</dcterms:created>
  <dcterms:modified xsi:type="dcterms:W3CDTF">2018-04-26T05:58:00Z</dcterms:modified>
</cp:coreProperties>
</file>