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3B" w:rsidRPr="0095217E" w:rsidRDefault="00BF673B" w:rsidP="00BF673B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5217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Публичное акционерное общество «Саратовэнерго»</w:t>
      </w:r>
    </w:p>
    <w:p w:rsidR="00BF673B" w:rsidRPr="0095217E" w:rsidRDefault="00BF673B" w:rsidP="00BF673B">
      <w:pPr>
        <w:keepNext/>
        <w:spacing w:after="0" w:line="240" w:lineRule="atLeast"/>
        <w:jc w:val="center"/>
        <w:outlineLvl w:val="0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5217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Российская Федерация, г. Саратов</w:t>
      </w:r>
    </w:p>
    <w:p w:rsidR="00BF673B" w:rsidRPr="0095217E" w:rsidRDefault="00BF673B" w:rsidP="00BF6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5217E">
        <w:rPr>
          <w:rFonts w:ascii="Times New Roman" w:eastAsia="Times New Roman" w:hAnsi="Times New Roman" w:cs="Times New Roman"/>
          <w:snapToGrid w:val="0"/>
          <w:sz w:val="21"/>
          <w:szCs w:val="21"/>
          <w:lang w:eastAsia="ru-RU"/>
        </w:rPr>
        <w:t>______________________________________________________________________</w:t>
      </w:r>
    </w:p>
    <w:p w:rsidR="00BF673B" w:rsidRPr="0095217E" w:rsidRDefault="00BF673B" w:rsidP="00BF6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</w:rPr>
      </w:pPr>
      <w:r w:rsidRPr="0095217E"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</w:rPr>
        <w:t xml:space="preserve">Сообщение о проведении годового Общего собрания </w:t>
      </w:r>
      <w:r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</w:rPr>
        <w:t>акционеров</w:t>
      </w:r>
    </w:p>
    <w:p w:rsidR="00BF673B" w:rsidRPr="0095217E" w:rsidRDefault="00BF673B" w:rsidP="00BF673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</w:rPr>
      </w:pPr>
      <w:r w:rsidRPr="0095217E"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</w:rPr>
        <w:t>ПАО «Саратовэнерго»</w:t>
      </w:r>
    </w:p>
    <w:p w:rsidR="00BF673B" w:rsidRPr="0095217E" w:rsidRDefault="00BF673B" w:rsidP="00BF673B">
      <w:pPr>
        <w:spacing w:after="0" w:line="180" w:lineRule="exact"/>
        <w:jc w:val="center"/>
        <w:rPr>
          <w:rFonts w:ascii="Times New Roman" w:eastAsia="Times New Roman" w:hAnsi="Times New Roman" w:cs="Times New Roman"/>
          <w:b/>
          <w:snapToGrid w:val="0"/>
          <w:sz w:val="21"/>
          <w:szCs w:val="21"/>
          <w:lang w:eastAsia="ru-RU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BF673B" w:rsidRPr="0095217E" w:rsidRDefault="00BF673B" w:rsidP="00BF673B">
      <w:pPr>
        <w:tabs>
          <w:tab w:val="left" w:pos="0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p w:rsidR="00BF673B" w:rsidRPr="0095217E" w:rsidRDefault="00BF673B" w:rsidP="00BF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5217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Публичное акционерное общество «Саратовэнерго» сообщает о проведении годового</w:t>
      </w:r>
      <w:r w:rsidRPr="0095217E">
        <w:rPr>
          <w:rFonts w:ascii="Times New Roman" w:eastAsia="Times New Roman" w:hAnsi="Times New Roman" w:cs="Times New Roman"/>
          <w:b/>
          <w:color w:val="FF0000"/>
          <w:sz w:val="21"/>
          <w:szCs w:val="21"/>
          <w:lang w:eastAsia="ru-RU"/>
        </w:rPr>
        <w:t xml:space="preserve"> </w:t>
      </w:r>
      <w:r w:rsidRPr="0095217E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Общего собрания акционеров в форме собрания (совместное присутствие) со следующей повесткой дня: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утверждении годового отчета, годовой бухгалтерской (финансовой) отчетности Общества за 2017 год.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 распределении прибыли и убытков Общества по результатам 2017 года.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3.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 выплате (объявлении) дивидендов по обыкновенным акциям ПАО «Саратовэнерго» по результатам 2017 года.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4.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 выплате (объявлении) дивидендов по привилегированным акциям типа А ПАО «Саратовэнерго» по результатам 2017 года.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5.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избрании членов Совета директоров Общества.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6.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избрании членов Ревизионной комиссии Общества.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7.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утверждении аудитора Общества.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8.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утверждении Устава Публичного акционерного общества «Саратовэнерго» в новой редакции».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9.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утверждении Положения о порядке созыва и проведения заседаний Совета директоров Публичного акционерного общества «Саратовэнерго» в новой редакции.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10.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Об одобрении участия Общества в СРО Ассоциации «Объединение строителей Саратовской области».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11.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 признании утратившим силу внутреннего документа Общества.</w:t>
      </w:r>
    </w:p>
    <w:p w:rsidR="00BF673B" w:rsidRPr="004855D7" w:rsidRDefault="00BF673B" w:rsidP="00BF673B">
      <w:pPr>
        <w:tabs>
          <w:tab w:val="left" w:pos="0"/>
          <w:tab w:val="left" w:pos="540"/>
          <w:tab w:val="left" w:pos="993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12.</w:t>
      </w:r>
      <w:r w:rsidRPr="004855D7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ab/>
        <w:t>О согласии на совершение сделок, в совершении которых имеется заинтересованность.</w:t>
      </w:r>
    </w:p>
    <w:p w:rsidR="00BF673B" w:rsidRPr="004855D7" w:rsidRDefault="00BF673B" w:rsidP="00BF673B">
      <w:pPr>
        <w:tabs>
          <w:tab w:val="left" w:pos="0"/>
          <w:tab w:val="left" w:pos="54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</w:p>
    <w:tbl>
      <w:tblPr>
        <w:tblpPr w:leftFromText="180" w:rightFromText="180" w:vertAnchor="text" w:horzAnchor="margin" w:tblpX="-36" w:tblpY="85"/>
        <w:tblW w:w="10155" w:type="dxa"/>
        <w:tblLook w:val="0000" w:firstRow="0" w:lastRow="0" w:firstColumn="0" w:lastColumn="0" w:noHBand="0" w:noVBand="0"/>
      </w:tblPr>
      <w:tblGrid>
        <w:gridCol w:w="3936"/>
        <w:gridCol w:w="6219"/>
      </w:tblGrid>
      <w:tr w:rsidR="00BF673B" w:rsidRPr="00A4674D" w:rsidTr="00834331">
        <w:tc>
          <w:tcPr>
            <w:tcW w:w="3936" w:type="dxa"/>
          </w:tcPr>
          <w:p w:rsidR="00BF673B" w:rsidRPr="0095217E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17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Дата проведения собрания:</w:t>
            </w:r>
          </w:p>
        </w:tc>
        <w:tc>
          <w:tcPr>
            <w:tcW w:w="6219" w:type="dxa"/>
          </w:tcPr>
          <w:p w:rsidR="00BF673B" w:rsidRPr="0095217E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95217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18 мая 2018 года</w:t>
            </w:r>
          </w:p>
        </w:tc>
      </w:tr>
      <w:tr w:rsidR="00BF673B" w:rsidRPr="00A4674D" w:rsidTr="00834331">
        <w:tc>
          <w:tcPr>
            <w:tcW w:w="3936" w:type="dxa"/>
          </w:tcPr>
          <w:p w:rsidR="00BF673B" w:rsidRPr="0095217E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17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Время проведения собрания:</w:t>
            </w:r>
          </w:p>
        </w:tc>
        <w:tc>
          <w:tcPr>
            <w:tcW w:w="6219" w:type="dxa"/>
          </w:tcPr>
          <w:p w:rsidR="00BF673B" w:rsidRPr="0095217E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95217E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11 часов 00 минут (по местному времени)</w:t>
            </w:r>
          </w:p>
        </w:tc>
      </w:tr>
      <w:tr w:rsidR="00BF673B" w:rsidRPr="00A4674D" w:rsidTr="00834331">
        <w:tc>
          <w:tcPr>
            <w:tcW w:w="3936" w:type="dxa"/>
          </w:tcPr>
          <w:p w:rsidR="00BF673B" w:rsidRPr="0095217E" w:rsidRDefault="00BF673B" w:rsidP="00BF673B">
            <w:pPr>
              <w:tabs>
                <w:tab w:val="left" w:pos="709"/>
                <w:tab w:val="left" w:pos="3664"/>
              </w:tabs>
              <w:spacing w:after="0" w:line="240" w:lineRule="atLeast"/>
              <w:ind w:left="709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 xml:space="preserve">Время начала регистрации </w:t>
            </w:r>
            <w:r w:rsidRPr="0095217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лиц, участвующих в собрании:</w:t>
            </w:r>
          </w:p>
        </w:tc>
        <w:tc>
          <w:tcPr>
            <w:tcW w:w="6219" w:type="dxa"/>
          </w:tcPr>
          <w:p w:rsidR="00BF673B" w:rsidRPr="00904612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</w:p>
          <w:p w:rsidR="00BF673B" w:rsidRPr="00904612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9046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10 часов 00 минут (по местному времени)</w:t>
            </w:r>
          </w:p>
        </w:tc>
      </w:tr>
      <w:tr w:rsidR="00BF673B" w:rsidRPr="00A4674D" w:rsidTr="00834331">
        <w:tc>
          <w:tcPr>
            <w:tcW w:w="3936" w:type="dxa"/>
          </w:tcPr>
          <w:p w:rsidR="00BF673B" w:rsidRPr="0095217E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95217E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Место проведения собрания:</w:t>
            </w:r>
          </w:p>
        </w:tc>
        <w:tc>
          <w:tcPr>
            <w:tcW w:w="6219" w:type="dxa"/>
          </w:tcPr>
          <w:p w:rsidR="00BF673B" w:rsidRPr="00904612" w:rsidRDefault="00BF673B" w:rsidP="00BF673B">
            <w:pPr>
              <w:tabs>
                <w:tab w:val="left" w:pos="742"/>
                <w:tab w:val="left" w:pos="3664"/>
              </w:tabs>
              <w:spacing w:after="0" w:line="240" w:lineRule="atLeast"/>
              <w:ind w:left="742" w:hanging="33"/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</w:pPr>
            <w:r w:rsidRPr="00904612">
              <w:rPr>
                <w:rFonts w:ascii="Times New Roman" w:eastAsia="Times New Roman" w:hAnsi="Times New Roman" w:cs="Times New Roman"/>
                <w:b/>
                <w:sz w:val="21"/>
                <w:szCs w:val="21"/>
                <w:lang w:eastAsia="ru-RU"/>
              </w:rPr>
              <w:t>г. Саратов, ул. им. Лермонтова М.Ю., д. 30, гостиница «Словакия», конференц-зал.</w:t>
            </w:r>
          </w:p>
          <w:p w:rsidR="00BF673B" w:rsidRPr="00904612" w:rsidRDefault="00BF673B" w:rsidP="00BF673B">
            <w:pPr>
              <w:tabs>
                <w:tab w:val="left" w:pos="0"/>
                <w:tab w:val="left" w:pos="3664"/>
              </w:tabs>
              <w:spacing w:after="0" w:line="240" w:lineRule="atLeast"/>
              <w:ind w:firstLine="709"/>
              <w:rPr>
                <w:rFonts w:ascii="Times New Roman" w:eastAsia="Times New Roman" w:hAnsi="Times New Roman" w:cs="Times New Roman"/>
                <w:b/>
                <w:color w:val="FF0000"/>
                <w:sz w:val="21"/>
                <w:szCs w:val="21"/>
                <w:lang w:eastAsia="ru-RU"/>
              </w:rPr>
            </w:pPr>
          </w:p>
        </w:tc>
      </w:tr>
    </w:tbl>
    <w:p w:rsidR="00BF673B" w:rsidRPr="00904612" w:rsidRDefault="00BF673B" w:rsidP="00BF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Д</w:t>
      </w:r>
      <w:r w:rsidRPr="00DB7D30">
        <w:rPr>
          <w:rFonts w:ascii="Times New Roman" w:eastAsia="Times New Roman" w:hAnsi="Times New Roman" w:cs="Times New Roman"/>
          <w:sz w:val="21"/>
          <w:szCs w:val="21"/>
          <w:lang w:eastAsia="ru-RU"/>
        </w:rPr>
        <w:t>ат</w:t>
      </w:r>
      <w:r>
        <w:rPr>
          <w:rFonts w:ascii="Times New Roman" w:eastAsia="Times New Roman" w:hAnsi="Times New Roman" w:cs="Times New Roman"/>
          <w:sz w:val="21"/>
          <w:szCs w:val="21"/>
          <w:lang w:eastAsia="ru-RU"/>
        </w:rPr>
        <w:t>а</w:t>
      </w:r>
      <w:r w:rsidRPr="00DB7D30">
        <w:rPr>
          <w:rFonts w:ascii="Times New Roman" w:eastAsia="Times New Roman" w:hAnsi="Times New Roman" w:cs="Times New Roman"/>
          <w:sz w:val="21"/>
          <w:szCs w:val="21"/>
          <w:lang w:eastAsia="ru-RU"/>
        </w:rPr>
        <w:t>, на которую определяются (фиксируются) лица, имеющие право на участие в общем собрании акционеров Общества</w:t>
      </w: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>:</w:t>
      </w:r>
      <w:r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</w:t>
      </w: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23 апреля 2018 года.</w:t>
      </w:r>
    </w:p>
    <w:p w:rsidR="00BF673B" w:rsidRPr="00904612" w:rsidRDefault="00BF673B" w:rsidP="00BF673B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Почтовые адреса, по которым могут быть направлены заполненные бюллетени для голосования: </w:t>
      </w:r>
    </w:p>
    <w:p w:rsidR="00BF673B" w:rsidRPr="00904612" w:rsidRDefault="00BF673B" w:rsidP="00BF673B">
      <w:pPr>
        <w:tabs>
          <w:tab w:val="left" w:pos="0"/>
        </w:tabs>
        <w:spacing w:before="60" w:after="6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eastAsia="x-none"/>
        </w:rPr>
      </w:pP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val="x-none" w:eastAsia="x-none"/>
        </w:rPr>
        <w:t>- 410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eastAsia="x-none"/>
        </w:rPr>
        <w:t>005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val="x-none" w:eastAsia="x-none"/>
        </w:rPr>
        <w:t xml:space="preserve">, г. Саратов, ул. 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eastAsia="x-none"/>
        </w:rPr>
        <w:t>им. Рахова В.Г.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val="x-none" w:eastAsia="x-none"/>
        </w:rPr>
        <w:t xml:space="preserve">, д. 181, 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eastAsia="x-none"/>
        </w:rPr>
        <w:t>П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val="x-none" w:eastAsia="x-none"/>
        </w:rPr>
        <w:t>АО «Саратовэнерго»</w:t>
      </w:r>
      <w:r w:rsidRPr="00904612">
        <w:rPr>
          <w:rFonts w:ascii="Times New Roman" w:eastAsia="Times New Roman" w:hAnsi="Times New Roman" w:cs="Times New Roman"/>
          <w:b/>
          <w:bCs/>
          <w:snapToGrid w:val="0"/>
          <w:sz w:val="21"/>
          <w:szCs w:val="21"/>
          <w:lang w:eastAsia="x-none"/>
        </w:rPr>
        <w:t>;</w:t>
      </w:r>
    </w:p>
    <w:p w:rsidR="00BF673B" w:rsidRPr="00904612" w:rsidRDefault="00BF673B" w:rsidP="00BF673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- </w:t>
      </w:r>
      <w:smartTag w:uri="urn:schemas-microsoft-com:office:smarttags" w:element="metricconverter">
        <w:smartTagPr>
          <w:attr w:name="ProductID" w:val="115172, г"/>
        </w:smartTagPr>
        <w:r w:rsidRPr="00904612">
          <w:rPr>
            <w:rFonts w:ascii="Times New Roman" w:eastAsia="Times New Roman" w:hAnsi="Times New Roman" w:cs="Times New Roman"/>
            <w:b/>
            <w:bCs/>
            <w:sz w:val="21"/>
            <w:szCs w:val="21"/>
            <w:lang w:eastAsia="ru-RU"/>
          </w:rPr>
          <w:t>115172, г</w:t>
        </w:r>
      </w:smartTag>
      <w:r w:rsidRPr="00904612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. Москва, а/я 4</w:t>
      </w:r>
      <w:r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>,</w:t>
      </w:r>
      <w:r w:rsidRPr="00904612">
        <w:rPr>
          <w:rFonts w:ascii="Times New Roman" w:eastAsia="Times New Roman" w:hAnsi="Times New Roman" w:cs="Times New Roman"/>
          <w:b/>
          <w:bCs/>
          <w:sz w:val="21"/>
          <w:szCs w:val="21"/>
          <w:lang w:eastAsia="ru-RU"/>
        </w:rPr>
        <w:t xml:space="preserve"> ООО «Реестр-РН».</w:t>
      </w:r>
    </w:p>
    <w:p w:rsidR="00BF673B" w:rsidRPr="00904612" w:rsidRDefault="00BF673B" w:rsidP="00BF673B">
      <w:pPr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>При определении кворума и подведении итогов голосования будут учитываться голоса, представленные бюллетенями для голосования, полученными обществом по указанным адресам, не позднее, чем за два дня до даты проведения годового Общего собрания акционеров.</w:t>
      </w:r>
    </w:p>
    <w:p w:rsidR="00BF673B" w:rsidRPr="00904612" w:rsidRDefault="00BF673B" w:rsidP="00BF673B">
      <w:pPr>
        <w:tabs>
          <w:tab w:val="left" w:pos="0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С информацией (материалами), предоставляемой при подготовке к проведению годового Общего собрания акционеров ПАО «Саратовэнерго», лица, имеющие право на участие в годовом Общем собрании акционеров Общества, могут ознакомиться </w:t>
      </w: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</w:t>
      </w: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</w:t>
      </w: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27 апреля 2018 года по 17 мая 2018 года (включительно),</w:t>
      </w:r>
      <w:r w:rsidRPr="00904612">
        <w:rPr>
          <w:rFonts w:ascii="Times New Roman" w:eastAsia="Times New Roman" w:hAnsi="Times New Roman" w:cs="Times New Roman"/>
          <w:b/>
          <w:bCs/>
          <w:iCs/>
          <w:sz w:val="21"/>
          <w:szCs w:val="21"/>
          <w:lang w:eastAsia="ru-RU"/>
        </w:rPr>
        <w:t xml:space="preserve"> </w:t>
      </w:r>
      <w:r w:rsidRPr="00904612"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  <w:t>за исключением выходных и праздничных дней</w:t>
      </w: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 с 10 часов 00 минут до 14 часов 00 минут по следующим адресам:</w:t>
      </w:r>
    </w:p>
    <w:p w:rsidR="00BF673B" w:rsidRPr="00904612" w:rsidRDefault="00BF673B" w:rsidP="00BF673B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 xml:space="preserve">- г. Саратов, ул. им. Рахова В.Г., 181, ПАО «Саратовэнерго»; </w:t>
      </w:r>
    </w:p>
    <w:p w:rsidR="00BF673B" w:rsidRPr="00904612" w:rsidRDefault="00BF673B" w:rsidP="00BF673B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sz w:val="21"/>
          <w:szCs w:val="21"/>
          <w:lang w:eastAsia="ru-RU"/>
        </w:rPr>
      </w:pPr>
      <w:r w:rsidRPr="00904612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- г. Москва, Подкопаевский пер., д. 2/6, стр. 3-4, ООО «Реестр-РН»</w:t>
      </w:r>
    </w:p>
    <w:p w:rsidR="00BF673B" w:rsidRPr="00904612" w:rsidRDefault="00BF673B" w:rsidP="00BF673B">
      <w:pPr>
        <w:widowControl w:val="0"/>
        <w:tabs>
          <w:tab w:val="left" w:pos="0"/>
          <w:tab w:val="num" w:pos="900"/>
          <w:tab w:val="left" w:pos="1080"/>
        </w:tabs>
        <w:spacing w:after="0" w:line="240" w:lineRule="auto"/>
        <w:ind w:right="-185" w:firstLine="709"/>
        <w:jc w:val="both"/>
        <w:rPr>
          <w:rFonts w:ascii="Times New Roman" w:eastAsia="Times New Roman" w:hAnsi="Times New Roman" w:cs="Times New Roman"/>
          <w:iCs/>
          <w:color w:val="FFFFFF" w:themeColor="background1"/>
          <w:sz w:val="21"/>
          <w:szCs w:val="21"/>
          <w:lang w:eastAsia="ru-RU"/>
          <w14:textFill>
            <w14:noFill/>
          </w14:textFill>
        </w:rPr>
      </w:pPr>
      <w:r w:rsidRPr="00BF673B">
        <w:rPr>
          <w:rFonts w:ascii="Times New Roman" w:eastAsia="Times New Roman" w:hAnsi="Times New Roman" w:cs="Times New Roman"/>
          <w:b/>
          <w:iCs/>
          <w:sz w:val="21"/>
          <w:szCs w:val="21"/>
          <w:lang w:eastAsia="ru-RU"/>
        </w:rPr>
        <w:t>- 18 мая 2018 года (в день проведения собрания) по месту проведения годового Общего собрания акционеров Общества</w:t>
      </w:r>
      <w:bookmarkStart w:id="0" w:name="_GoBack"/>
      <w:bookmarkEnd w:id="0"/>
      <w:r w:rsidR="00BD4084">
        <w:rPr>
          <w:rFonts w:ascii="Times New Roman" w:eastAsia="Times New Roman" w:hAnsi="Times New Roman" w:cs="Times New Roman"/>
          <w:b/>
          <w:iCs/>
          <w:sz w:val="21"/>
          <w:szCs w:val="21"/>
          <w:lang w:eastAsia="ru-RU"/>
        </w:rPr>
        <w:t xml:space="preserve"> </w:t>
      </w:r>
      <w:r w:rsidRPr="00BF673B">
        <w:rPr>
          <w:rFonts w:ascii="Times New Roman" w:eastAsia="Times New Roman" w:hAnsi="Times New Roman" w:cs="Times New Roman"/>
          <w:b/>
          <w:iCs/>
          <w:sz w:val="21"/>
          <w:szCs w:val="21"/>
          <w:lang w:eastAsia="ru-RU"/>
        </w:rPr>
        <w:t>с момента начала регистрации участников годового Общего собрания акционеров Общества до его закрытия.</w:t>
      </w:r>
    </w:p>
    <w:p w:rsidR="00BF673B" w:rsidRPr="004855D7" w:rsidRDefault="00BF673B" w:rsidP="00BF673B">
      <w:pPr>
        <w:tabs>
          <w:tab w:val="left" w:pos="0"/>
          <w:tab w:val="num" w:pos="1080"/>
        </w:tabs>
        <w:spacing w:after="0" w:line="240" w:lineRule="auto"/>
        <w:ind w:right="-5" w:firstLine="709"/>
        <w:jc w:val="both"/>
        <w:rPr>
          <w:rFonts w:ascii="Times New Roman" w:eastAsia="Times New Roman" w:hAnsi="Times New Roman" w:cs="Times New Roman"/>
          <w:bCs/>
          <w:sz w:val="21"/>
          <w:szCs w:val="21"/>
          <w:u w:val="single"/>
          <w:lang w:eastAsia="ru-RU"/>
        </w:rPr>
      </w:pPr>
      <w:r w:rsidRPr="00904612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Информация (материалы) по вопросам повестки дня годового Общего собрания акционеров ПАО «Саратовэнерго» также размещается не позднее </w:t>
      </w:r>
      <w:r w:rsidRPr="00D01CE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27 апреля 2018 года</w:t>
      </w:r>
      <w:r w:rsidRPr="00D01CE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на веб-сайте Общества в сети Интернет </w:t>
      </w:r>
      <w:r w:rsidRPr="00D01CEB">
        <w:rPr>
          <w:rFonts w:ascii="Times New Roman" w:eastAsia="Times New Roman" w:hAnsi="Times New Roman" w:cs="Times New Roman"/>
          <w:lang w:eastAsia="ru-RU"/>
        </w:rPr>
        <w:t>по адресу</w:t>
      </w:r>
      <w:r w:rsidRPr="004855D7">
        <w:rPr>
          <w:rFonts w:ascii="Times New Roman" w:eastAsia="Times New Roman" w:hAnsi="Times New Roman" w:cs="Times New Roman"/>
          <w:lang w:eastAsia="ru-RU"/>
        </w:rPr>
        <w:t xml:space="preserve">: </w:t>
      </w:r>
      <w:hyperlink r:id="rId5" w:history="1">
        <w:r w:rsidRPr="004855D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ru-RU"/>
          </w:rPr>
          <w:t>http://</w:t>
        </w:r>
        <w:r w:rsidRPr="004855D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val="en-US" w:eastAsia="ru-RU"/>
          </w:rPr>
          <w:t>www</w:t>
        </w:r>
        <w:r w:rsidRPr="004855D7">
          <w:rPr>
            <w:rFonts w:ascii="Times New Roman" w:eastAsia="Times New Roman" w:hAnsi="Times New Roman" w:cs="Times New Roman"/>
            <w:b/>
            <w:bCs/>
            <w:color w:val="0000FF"/>
            <w:sz w:val="21"/>
            <w:szCs w:val="21"/>
            <w:u w:val="single"/>
            <w:lang w:eastAsia="ru-RU"/>
          </w:rPr>
          <w:t>.saratovenergo.ru</w:t>
        </w:r>
      </w:hyperlink>
      <w:r w:rsidRPr="004855D7">
        <w:rPr>
          <w:rFonts w:ascii="Times New Roman" w:eastAsia="Times New Roman" w:hAnsi="Times New Roman" w:cs="Times New Roman"/>
          <w:bCs/>
          <w:sz w:val="21"/>
          <w:szCs w:val="21"/>
          <w:u w:val="single"/>
          <w:lang w:eastAsia="ru-RU"/>
        </w:rPr>
        <w:t>.</w:t>
      </w:r>
    </w:p>
    <w:p w:rsidR="00BF673B" w:rsidRPr="00D01CEB" w:rsidRDefault="00BF673B" w:rsidP="00BF673B">
      <w:pPr>
        <w:tabs>
          <w:tab w:val="left" w:pos="0"/>
          <w:tab w:val="left" w:pos="540"/>
        </w:tabs>
        <w:spacing w:after="0" w:line="240" w:lineRule="auto"/>
        <w:ind w:right="-70" w:firstLine="709"/>
        <w:jc w:val="both"/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</w:pPr>
      <w:r w:rsidRPr="00D01CE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lastRenderedPageBreak/>
        <w:t>Внимание!</w:t>
      </w:r>
      <w:r w:rsidRPr="00D01CE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 Каждый акционер, прибывающий на годовое Общее собрание акционеров ПАО «Саратовэнерго», должен иметь при себе паспорт или иной документ, удостоверяющий его личность. Представитель акционера на общем собрании акционеров действует в соответствии с полномочиями, основанными на указаниях федеральных законов или актов уполномоченных на то государственных органов или органов местного самоуправления либо доверенности, составленной в письменной форме. Доверенность на голосование должна содержать сведения о представляемом и представителе (для физического лица - ФИО, данные документа, удостоверяющего личность (серия и (или) номер документа, дата и место его выдачи, орган, выдавший документ), для юридического лица - наименование, сведения о месте нахождения</w:t>
      </w:r>
      <w:r w:rsidR="00BD4084">
        <w:rPr>
          <w:rFonts w:ascii="Times New Roman" w:eastAsia="Times New Roman" w:hAnsi="Times New Roman" w:cs="Times New Roman"/>
          <w:sz w:val="21"/>
          <w:szCs w:val="21"/>
          <w:lang w:eastAsia="ru-RU"/>
        </w:rPr>
        <w:t>)</w:t>
      </w:r>
      <w:r w:rsidRPr="00D01CEB">
        <w:rPr>
          <w:rFonts w:ascii="Times New Roman" w:eastAsia="Times New Roman" w:hAnsi="Times New Roman" w:cs="Times New Roman"/>
          <w:sz w:val="21"/>
          <w:szCs w:val="21"/>
          <w:lang w:eastAsia="ru-RU"/>
        </w:rPr>
        <w:t xml:space="preserve">. Доверенность на голосование должна быть оформлена в соответствии с требованиями Гражданского кодекса Российской Федерации и Федеральным Законом от 26.12.1995 г. №208-ФЗ «Об акционерных обществах» или удостоверена нотариально. В случае заочного голосования, к бюллетеню, подписанному представителем акционера, необходимо приложить доверенность, на основании которой действует представитель, или ее нотариально удостоверенную копию. </w:t>
      </w:r>
    </w:p>
    <w:p w:rsidR="00BF673B" w:rsidRPr="00883FAB" w:rsidRDefault="00BF673B" w:rsidP="00BF673B">
      <w:pPr>
        <w:tabs>
          <w:tab w:val="left" w:pos="0"/>
        </w:tabs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D01CEB">
        <w:rPr>
          <w:rFonts w:ascii="Times New Roman" w:eastAsia="Times New Roman" w:hAnsi="Times New Roman" w:cs="Times New Roman"/>
          <w:b/>
          <w:sz w:val="21"/>
          <w:szCs w:val="21"/>
          <w:lang w:eastAsia="ru-RU"/>
        </w:rPr>
        <w:t>Совет директоров ПАО «Саратовэнерго»</w:t>
      </w:r>
    </w:p>
    <w:p w:rsidR="00550EF6" w:rsidRDefault="00550EF6"/>
    <w:sectPr w:rsidR="00550E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73B"/>
    <w:rsid w:val="00550EF6"/>
    <w:rsid w:val="00BD4084"/>
    <w:rsid w:val="00BF6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673B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atovenergo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686</Words>
  <Characters>3913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Ковалерова Анастасия Александровна</cp:lastModifiedBy>
  <cp:revision>1</cp:revision>
  <dcterms:created xsi:type="dcterms:W3CDTF">2018-04-18T07:32:00Z</dcterms:created>
  <dcterms:modified xsi:type="dcterms:W3CDTF">2018-04-18T09:34:00Z</dcterms:modified>
</cp:coreProperties>
</file>