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ind w:firstLine="6379"/>
        <w:contextualSpacing/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Приложение № 1 к приказу</w:t>
      </w:r>
      <w:r>
        <w:rPr>
          <w:rFonts w:ascii="Liberation Serif" w:hAnsi="Liberation Serif" w:cs="Liberation Serif"/>
          <w:szCs w:val="28"/>
        </w:rPr>
      </w:r>
      <w:r>
        <w:rPr>
          <w:rFonts w:ascii="Liberation Serif" w:hAnsi="Liberation Serif" w:cs="Liberation Serif"/>
          <w:szCs w:val="28"/>
        </w:rPr>
      </w:r>
    </w:p>
    <w:p>
      <w:pPr>
        <w:widowControl w:val="off"/>
        <w:ind w:firstLine="6521"/>
        <w:contextualSpacing/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от _________ № __________</w:t>
      </w:r>
      <w:r>
        <w:rPr>
          <w:rFonts w:ascii="Liberation Serif" w:hAnsi="Liberation Serif" w:cs="Liberation Serif"/>
          <w:szCs w:val="28"/>
        </w:rPr>
      </w:r>
      <w:r>
        <w:rPr>
          <w:rFonts w:ascii="Liberation Serif" w:hAnsi="Liberation Serif" w:cs="Liberation Serif"/>
          <w:szCs w:val="28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tabs>
          <w:tab w:val="left" w:pos="8801" w:leader="none"/>
        </w:tabs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widowControl w:val="off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СТАНДАРТ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</w:p>
    <w:p>
      <w:pPr>
        <w:widowControl w:val="off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качества обслуживания потребителей электрической энергии гарантирующим поставщиком</w:t>
      </w:r>
      <w:r>
        <w:rPr>
          <w:rFonts w:ascii="Liberation Serif" w:hAnsi="Liberation Serif" w:cs="Liberation Serif"/>
          <w:b/>
          <w:bCs/>
          <w:sz w:val="28"/>
          <w:szCs w:val="28"/>
          <w:lang w:eastAsia="en-US"/>
        </w:rPr>
        <w:t xml:space="preserve"> ПАО «Саратовэнерго»</w:t>
      </w:r>
      <w:r>
        <w:rPr>
          <w:rFonts w:ascii="Liberation Serif" w:hAnsi="Liberation Serif" w:cs="Liberation Serif"/>
          <w:b/>
          <w:bCs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bCs/>
          <w:sz w:val="28"/>
          <w:szCs w:val="28"/>
          <w:lang w:eastAsia="en-US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spacing w:before="60"/>
        <w:ind w:firstLine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 Саратов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off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  <w:r>
        <w:rPr>
          <w:rFonts w:ascii="Liberation Serif" w:hAnsi="Liberation Serif" w:cs="Liberation Serif"/>
          <w:b/>
          <w:sz w:val="28"/>
          <w:szCs w:val="28"/>
          <w:u w:val="single"/>
        </w:rPr>
      </w:r>
    </w:p>
    <w:p>
      <w:pPr>
        <w:widowControl w:val="off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  <w:sectPr>
          <w:headerReference w:type="default" r:id="rId9"/>
          <w:headerReference w:type="first" r:id="rId10"/>
          <w:footerReference w:type="default" r:id="rId11"/>
          <w:footerReference w:type="even" r:id="rId12"/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</w:p>
    <w:p>
      <w:pPr>
        <w:widowControl w:val="off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Содержание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</w:p>
    <w:p>
      <w:pPr>
        <w:widowControl w:val="off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bookmarkStart w:id="0" w:name="_4.10_Постоянное_улучшение"/>
      <w:bookmarkStart w:id="1" w:name="_Toc479848802"/>
      <w:bookmarkStart w:id="2" w:name="_Toc289065029"/>
      <w:bookmarkStart w:id="3" w:name="_Toc289069690"/>
      <w:bookmarkStart w:id="4" w:name="_Toc290454986"/>
      <w:bookmarkStart w:id="5" w:name="_Toc294257119"/>
      <w:bookmarkStart w:id="6" w:name="_Toc294260867"/>
      <w:bookmarkEnd w:id="0"/>
      <w:r>
        <w:rPr>
          <w:rFonts w:ascii="Liberation Serif" w:hAnsi="Liberation Serif" w:cs="Liberation Serif"/>
        </w:rPr>
        <w:fldChar w:fldCharType="begin"/>
      </w:r>
      <w:r>
        <w:rPr>
          <w:rFonts w:ascii="Liberation Serif" w:hAnsi="Liberation Serif" w:cs="Liberation Serif"/>
        </w:rPr>
        <w:instrText xml:space="preserve"> TOC \o "1-2" \h \z \u </w:instrText>
      </w:r>
      <w:r>
        <w:rPr>
          <w:rFonts w:ascii="Liberation Serif" w:hAnsi="Liberation Serif" w:cs="Liberation Serif"/>
        </w:rPr>
        <w:fldChar w:fldCharType="separate"/>
      </w:r>
      <w:hyperlink w:tooltip="#_Toc219469540" w:anchor="_Toc219469540" w:history="1">
        <w:r>
          <w:rPr>
            <w:rStyle w:val="1084"/>
            <w:rFonts w:ascii="Liberation Serif" w:hAnsi="Liberation Serif" w:cs="Liberation Serif"/>
          </w:rPr>
          <w:t xml:space="preserve">1.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  <w:t xml:space="preserve"> </w:t>
        </w:r>
        <w:r>
          <w:rPr>
            <w:rStyle w:val="1084"/>
            <w:rFonts w:ascii="Liberation Serif" w:hAnsi="Liberation Serif" w:cs="Liberation Serif"/>
          </w:rPr>
          <w:t xml:space="preserve">Общие положения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_Toc219469540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3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1" w:anchor="_Toc219469541" w:history="1">
        <w:r>
          <w:rPr>
            <w:rStyle w:val="1084"/>
            <w:rFonts w:ascii="Liberation Serif" w:hAnsi="Liberation Serif" w:cs="Liberation Serif"/>
          </w:rPr>
          <w:t xml:space="preserve">2.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  <w:t xml:space="preserve"> </w:t>
        </w:r>
        <w:r>
          <w:rPr>
            <w:rStyle w:val="1084"/>
            <w:rFonts w:ascii="Liberation Serif" w:hAnsi="Liberation Serif" w:cs="Liberation Serif"/>
          </w:rPr>
          <w:t xml:space="preserve">Термины, определения и сокращения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_Toc219469541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3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2" w:anchor="_Toc219469542" w:history="1">
        <w:r>
          <w:rPr>
            <w:rStyle w:val="1084"/>
            <w:rFonts w:ascii="Liberation Serif" w:hAnsi="Liberation Serif" w:cs="Liberation Serif"/>
          </w:rPr>
          <w:t xml:space="preserve">3.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  <w:t xml:space="preserve">  </w:t>
        </w:r>
        <w:r>
          <w:rPr>
            <w:rStyle w:val="1084"/>
            <w:rFonts w:ascii="Liberation Serif" w:hAnsi="Liberation Serif" w:cs="Liberation Serif"/>
          </w:rPr>
          <w:t xml:space="preserve">Цели Стандарта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_Toc219469542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5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3" w:anchor="_Toc219469543" w:history="1">
        <w:r>
          <w:rPr>
            <w:rStyle w:val="1084"/>
            <w:rFonts w:ascii="Liberation Serif" w:hAnsi="Liberation Serif" w:cs="Liberation Serif"/>
          </w:rPr>
          <w:t xml:space="preserve">4.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  <w:t xml:space="preserve">  </w:t>
        </w:r>
        <w:r>
          <w:rPr>
            <w:rStyle w:val="1084"/>
            <w:rFonts w:ascii="Liberation Serif" w:hAnsi="Liberation Serif" w:cs="Liberation Serif"/>
          </w:rPr>
          <w:t xml:space="preserve">Принципы взаимодействия гарантирующ</w:t>
        </w:r>
        <w:r>
          <w:rPr>
            <w:rStyle w:val="1084"/>
            <w:rFonts w:ascii="Liberation Serif" w:hAnsi="Liberation Serif" w:cs="Liberation Serif"/>
          </w:rPr>
          <w:t xml:space="preserve">его поставщика с клиентами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_Toc219469543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6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0"/>
        <w:ind w:right="0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4" w:anchor="_Toc219469544" w:history="1">
        <w:r>
          <w:rPr>
            <w:rStyle w:val="1084"/>
            <w:rFonts w:ascii="Liberation Serif" w:hAnsi="Liberation Serif" w:cs="Liberation Serif"/>
          </w:rPr>
          <w:t xml:space="preserve">4.1.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Основные принципы взаимодействия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_Toc219469544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.........6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0"/>
        <w:ind w:right="0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5" w:anchor="_Toc219469545" w:history="1">
        <w:r>
          <w:rPr>
            <w:rStyle w:val="1084"/>
            <w:rFonts w:ascii="Liberation Serif" w:hAnsi="Liberation Serif" w:cs="Liberation Serif"/>
          </w:rPr>
          <w:t xml:space="preserve">4.2.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Основные принципы обслуживания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_Toc219469545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6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6" w:anchor="_Toc219469546" w:history="1">
        <w:r>
          <w:rPr>
            <w:rStyle w:val="1084"/>
            <w:rFonts w:ascii="Liberation Serif" w:hAnsi="Liberation Serif" w:cs="Liberation Serif"/>
          </w:rPr>
          <w:t xml:space="preserve">5.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  Организационно-нормативное обеспечение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_Toc219469546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7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7" w:anchor="_Toc219469547" w:history="1">
        <w:r>
          <w:rPr>
            <w:rStyle w:val="1084"/>
            <w:rFonts w:ascii="Liberation Serif" w:hAnsi="Liberation Serif" w:cs="Liberation Serif"/>
          </w:rPr>
          <w:t xml:space="preserve">6.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  <w:t xml:space="preserve">  </w:t>
        </w:r>
        <w:r>
          <w:rPr>
            <w:rStyle w:val="1084"/>
            <w:rFonts w:ascii="Liberation Serif" w:hAnsi="Liberation Serif" w:cs="Liberation Serif"/>
          </w:rPr>
          <w:t xml:space="preserve">Инфраструктура очного обслуживания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_Toc219469547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8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0"/>
        <w:ind w:right="0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8" w:anchor="_Toc219469548" w:history="1">
        <w:r>
          <w:rPr>
            <w:rStyle w:val="1084"/>
            <w:rFonts w:ascii="Liberation Serif" w:hAnsi="Liberation Serif" w:cs="Liberation Serif"/>
          </w:rPr>
          <w:t xml:space="preserve">6.1.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Функции ц</w:t>
        </w:r>
        <w:r>
          <w:rPr>
            <w:rStyle w:val="1084"/>
            <w:rFonts w:ascii="Liberation Serif" w:hAnsi="Liberation Serif" w:cs="Liberation Serif"/>
          </w:rPr>
          <w:t xml:space="preserve">ентров обслуживания клиентов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_Toc219469548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8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0"/>
        <w:ind w:right="0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49" w:anchor="_Toc219469549" w:history="1">
        <w:r>
          <w:rPr>
            <w:rStyle w:val="1084"/>
            <w:rFonts w:ascii="Liberation Serif" w:hAnsi="Liberation Serif" w:cs="Liberation Serif"/>
          </w:rPr>
          <w:t xml:space="preserve">6.2.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Организация доступа к центру обслуживания клиентов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_Toc219469549</w:instrText>
        </w:r>
        <w:r>
          <w:rPr>
            <w:rFonts w:ascii="Liberation Serif" w:hAnsi="Liberation Serif" w:cs="Liberation Serif"/>
          </w:rPr>
          <w:instrText xml:space="preserve">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9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50" w:anchor="_Toc219469550" w:history="1">
        <w:r>
          <w:rPr>
            <w:rStyle w:val="1084"/>
            <w:rFonts w:ascii="Liberation Serif" w:hAnsi="Liberation Serif" w:cs="Liberation Serif"/>
          </w:rPr>
          <w:t xml:space="preserve">7.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  <w:t xml:space="preserve">   </w:t>
        </w:r>
        <w:r>
          <w:rPr>
            <w:rStyle w:val="1084"/>
            <w:rFonts w:ascii="Liberation Serif" w:hAnsi="Liberation Serif" w:cs="Liberation Serif"/>
          </w:rPr>
          <w:t xml:space="preserve">Инфраструктура заочного обслуживания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_Toc219469550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9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51" w:anchor="_Toc219469551" w:history="1">
        <w:r>
          <w:rPr>
            <w:rStyle w:val="1084"/>
            <w:rFonts w:ascii="Liberation Serif" w:hAnsi="Liberation Serif" w:cs="Liberation Serif"/>
          </w:rPr>
          <w:t xml:space="preserve">8.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  <w:t xml:space="preserve">  </w:t>
        </w:r>
        <w:r>
          <w:rPr>
            <w:rStyle w:val="1084"/>
            <w:rFonts w:ascii="Liberation Serif" w:hAnsi="Liberation Serif" w:cs="Liberation Serif"/>
          </w:rPr>
          <w:t xml:space="preserve">Личный кабинет клиента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_Toc219469551 \h 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 10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0"/>
        <w:ind w:right="0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52" w:anchor="_Toc219469552" w:history="1">
        <w:r>
          <w:rPr>
            <w:rStyle w:val="1084"/>
            <w:rFonts w:ascii="Liberation Serif" w:hAnsi="Liberation Serif" w:cs="Liberation Serif"/>
          </w:rPr>
          <w:t xml:space="preserve">8.1.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Основные функции </w:t>
        </w:r>
        <w:r>
          <w:rPr>
            <w:rStyle w:val="1084"/>
            <w:rFonts w:ascii="Liberation Serif" w:hAnsi="Liberation Serif" w:cs="Liberation Serif"/>
          </w:rPr>
          <w:t xml:space="preserve">ЛКК физических лиц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_Toc219469552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 10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0"/>
        <w:ind w:right="0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53" w:anchor="_Toc219469553" w:history="1">
        <w:r>
          <w:rPr>
            <w:rStyle w:val="1084"/>
            <w:rFonts w:ascii="Liberation Serif" w:hAnsi="Liberation Serif" w:cs="Liberation Serif"/>
          </w:rPr>
          <w:t xml:space="preserve">8.2.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Основные функции ЛКК юридических лиц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_Toc219469553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 11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1082"/>
        <w:rPr>
          <w:rFonts w:ascii="Liberation Serif" w:hAnsi="Liberation Serif" w:cs="Liberation Serif" w:eastAsiaTheme="minorEastAsia"/>
          <w:sz w:val="22"/>
          <w:szCs w:val="22"/>
        </w:rPr>
      </w:pPr>
      <w:hyperlink w:tooltip="#_Toc219469554" w:anchor="_Toc219469554" w:history="1">
        <w:r>
          <w:rPr>
            <w:rStyle w:val="1084"/>
            <w:rFonts w:ascii="Liberation Serif" w:hAnsi="Liberation Serif" w:cs="Liberation Serif"/>
          </w:rPr>
          <w:t xml:space="preserve">9.</w:t>
        </w:r>
        <w:r>
          <w:rPr>
            <w:rFonts w:ascii="Liberation Serif" w:hAnsi="Liberation Serif" w:cs="Liberation Serif" w:eastAsiaTheme="minorEastAsia"/>
            <w:sz w:val="22"/>
            <w:szCs w:val="22"/>
          </w:rPr>
          <w:tab/>
        </w:r>
        <w:r>
          <w:rPr>
            <w:rStyle w:val="1084"/>
            <w:rFonts w:ascii="Liberation Serif" w:hAnsi="Liberation Serif" w:cs="Liberation Serif"/>
          </w:rPr>
          <w:t xml:space="preserve">  Информационные разделы официального сайта</w:t>
        </w:r>
        <w:r>
          <w:rPr>
            <w:rFonts w:ascii="Liberation Serif" w:hAnsi="Liberation Serif" w:cs="Liberation Serif"/>
          </w:rPr>
          <w:tab/>
        </w: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 xml:space="preserve"> PAGEREF _Toc219469554 \h </w:instrText>
        </w:r>
        <w:r>
          <w:rPr>
            <w:rFonts w:ascii="Liberation Serif" w:hAnsi="Liberation Serif" w:cs="Liberation Serif"/>
          </w:rPr>
        </w:r>
        <w:r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</w:rPr>
          <w:t xml:space="preserve"> 12</w:t>
        </w:r>
        <w:r>
          <w:rPr>
            <w:rFonts w:ascii="Liberation Serif" w:hAnsi="Liberation Serif" w:cs="Liberation Serif"/>
          </w:rPr>
          <w:fldChar w:fldCharType="end"/>
        </w:r>
      </w:hyperlink>
      <w:r>
        <w:rPr>
          <w:rFonts w:ascii="Liberation Serif" w:hAnsi="Liberation Serif" w:cs="Liberation Serif" w:eastAsiaTheme="minorEastAsia"/>
          <w:sz w:val="22"/>
          <w:szCs w:val="22"/>
        </w:rPr>
      </w:r>
      <w:r>
        <w:rPr>
          <w:rFonts w:ascii="Liberation Serif" w:hAnsi="Liberation Serif" w:cs="Liberation Serif" w:eastAsiaTheme="minorEastAsia"/>
          <w:sz w:val="22"/>
          <w:szCs w:val="22"/>
        </w:rPr>
      </w:r>
    </w:p>
    <w:p>
      <w:pPr>
        <w:pStyle w:val="904"/>
        <w:keepNext w:val="0"/>
        <w:widowControl w:val="off"/>
        <w:numPr>
          <w:numId w:val="0"/>
          <w:ilvl w:val="0"/>
        </w:numPr>
        <w:spacing w:before="0" w:after="0"/>
        <w:ind w:left="709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fldChar w:fldCharType="end"/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widowControl w:val="off"/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 w:clear="all"/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144"/>
        <w:spacing w:before="0" w:after="0"/>
      </w:pPr>
      <w:bookmarkStart w:id="7" w:name="_Toc212623796"/>
      <w:bookmarkStart w:id="8" w:name="_Toc219469540"/>
      <w:bookmarkStart w:id="9" w:name="вв"/>
      <w:bookmarkStart w:id="10" w:name="_Toc16772131"/>
      <w:bookmarkStart w:id="11" w:name="_Toc164693132"/>
      <w:bookmarkEnd w:id="1"/>
      <w:bookmarkEnd w:id="2"/>
      <w:bookmarkEnd w:id="3"/>
      <w:bookmarkEnd w:id="4"/>
      <w:bookmarkEnd w:id="5"/>
      <w:bookmarkEnd w:id="6"/>
      <w:r>
        <w:t xml:space="preserve">Общие положения</w:t>
      </w:r>
      <w:bookmarkEnd w:id="7"/>
      <w:bookmarkEnd w:id="8"/>
      <w:bookmarkEnd w:id="9"/>
      <w:bookmarkEnd w:id="10"/>
      <w:bookmarkEnd w:id="11"/>
    </w:p>
    <w:p>
      <w:pPr>
        <w:pStyle w:val="1103"/>
        <w:contextualSpacing/>
        <w:rPr>
          <w:spacing w:val="0"/>
        </w:rPr>
      </w:pPr>
      <w:r>
        <w:rPr>
          <w:spacing w:val="0"/>
        </w:rPr>
        <w:t xml:space="preserve">Настоящий Стандарт </w:t>
      </w:r>
      <w:r>
        <w:rPr>
          <w:spacing w:val="0"/>
        </w:rPr>
        <w:t xml:space="preserve">устанавливает базовые требования к взаимодействию гарантирующего поставщика с потребителем электрической энергии, имеющим намерение заключить договор энергоснабжения (купли-продажи (поставки) электрической энергии (мощности)), при осуществлении энергоснабж</w:t>
      </w:r>
      <w:r>
        <w:rPr>
          <w:spacing w:val="0"/>
        </w:rPr>
        <w:t xml:space="preserve">ения (поставки электрической энергии (мощности)) и оказании коммунальных услуг по электроснабжению гарантирующим поставщиком электрической энергии в пределах соответствующей зоны деятельности, включая правила и характеристики очного и заочного обслуживания</w:t>
      </w:r>
      <w:r>
        <w:rPr>
          <w:spacing w:val="0"/>
        </w:rPr>
        <w:t xml:space="preserve"> потребителей, реагирование на обращение клиентов, обеспечение обратной связи и оценку степени удовлетворенности качеством обслуживания гарантирующим поставщиком.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contextualSpacing/>
        <w:rPr>
          <w:spacing w:val="0"/>
        </w:rPr>
      </w:pPr>
      <w:r>
        <w:rPr>
          <w:spacing w:val="0"/>
        </w:rPr>
        <w:t xml:space="preserve">Действие настоящего </w:t>
      </w:r>
      <w:r>
        <w:rPr>
          <w:spacing w:val="0"/>
        </w:rPr>
        <w:t xml:space="preserve">Стандарта</w:t>
      </w:r>
      <w:r>
        <w:rPr>
          <w:spacing w:val="0"/>
        </w:rPr>
        <w:t xml:space="preserve"> распространяется также на взаимоотношения с любым лицом, имеющи</w:t>
      </w:r>
      <w:r>
        <w:rPr>
          <w:spacing w:val="0"/>
        </w:rPr>
        <w:t xml:space="preserve">м намерение заключить договор энергоснабжения (купли-продажи (поставки) электрической энергии (мощности)). 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contextualSpacing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1144"/>
        <w:spacing w:before="0" w:after="0"/>
      </w:pPr>
      <w:bookmarkStart w:id="12" w:name="_Toc292302103"/>
      <w:bookmarkStart w:id="13" w:name="_Toc98168808"/>
      <w:bookmarkStart w:id="14" w:name="_Toc164693133"/>
      <w:bookmarkStart w:id="15" w:name="_Toc219469541"/>
      <w:r>
        <w:t xml:space="preserve">Термины, определения и сокращения</w:t>
      </w:r>
      <w:bookmarkEnd w:id="12"/>
      <w:bookmarkEnd w:id="13"/>
      <w:bookmarkEnd w:id="14"/>
      <w:bookmarkEnd w:id="15"/>
    </w:p>
    <w:p>
      <w:pPr>
        <w:widowControl w:val="off"/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Применительно к настоящему Стандарту используются следующие термины, определения и сокращения: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W w:w="9498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5387"/>
      </w:tblGrid>
      <w:tr>
        <w:trPr>
          <w:tblHeader/>
        </w:trPr>
        <w:tblPrEx/>
        <w:tc>
          <w:tcPr>
            <w:tcW w:w="2552" w:type="dxa"/>
            <w:shd w:val="clear" w:color="auto" w:fill="e7e6e6" w:themeFill="background2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  <w:b/>
                <w:bCs/>
              </w:rPr>
            </w:pPr>
            <w:bookmarkStart w:id="16" w:name="RANGE!D5"/>
            <w:r>
              <w:rPr>
                <w:rFonts w:ascii="Liberation Serif" w:hAnsi="Liberation Serif" w:cs="Liberation Serif"/>
                <w:b/>
                <w:bCs/>
              </w:rPr>
              <w:t xml:space="preserve">Наименование термина</w:t>
            </w:r>
            <w:bookmarkEnd w:id="16"/>
            <w:r>
              <w:rPr>
                <w:rFonts w:ascii="Liberation Serif" w:hAnsi="Liberation Serif" w:cs="Liberation Serif"/>
                <w:b/>
                <w:bCs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1559" w:type="dxa"/>
            <w:shd w:val="clear" w:color="auto" w:fill="e7e6e6" w:themeFill="background2"/>
            <w:noWrap w:val="false"/>
            <w:textDirection w:val="lrTb"/>
            <w:vAlign w:val="center"/>
          </w:tcPr>
          <w:p>
            <w:pPr>
              <w:widowControl w:val="off"/>
              <w:ind w:right="-109"/>
              <w:contextualSpacing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Сокращение</w:t>
            </w:r>
            <w:r>
              <w:rPr>
                <w:rFonts w:ascii="Liberation Serif" w:hAnsi="Liberation Serif" w:cs="Liberation Serif"/>
                <w:b/>
                <w:bCs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387" w:type="dxa"/>
            <w:shd w:val="clear" w:color="auto" w:fill="e7e6e6" w:themeFill="background2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Определение термина (расшифровка сокращения)</w:t>
            </w:r>
            <w:r>
              <w:rPr>
                <w:rFonts w:ascii="Liberation Serif" w:hAnsi="Liberation Serif" w:cs="Liberation Serif"/>
                <w:b/>
                <w:bCs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eastAsia="Calibri" w:cs="Liberation Serif"/>
              </w:rPr>
              <w:t xml:space="preserve">Автоматизированная система «</w:t>
            </w:r>
            <w:r>
              <w:rPr>
                <w:rFonts w:ascii="Liberation Serif" w:hAnsi="Liberation Serif" w:eastAsia="Calibri" w:cs="Liberation Serif"/>
              </w:rPr>
              <w:t xml:space="preserve">Видеоконсультант</w:t>
            </w:r>
            <w:r>
              <w:rPr>
                <w:rFonts w:ascii="Liberation Serif" w:hAnsi="Liberation Serif" w:eastAsia="Calibri" w:cs="Liberation Serif"/>
              </w:rPr>
              <w:t xml:space="preserve">» 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Calibri" w:cs="Liberation Serif"/>
              </w:rPr>
              <w:t xml:space="preserve">АСВК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Calibri" w:cs="Liberation Serif"/>
              </w:rPr>
              <w:t xml:space="preserve">Программно-аппаратный комплекс, предназначенный для дистанционного обслуживания клиентов посредством терминала, с возможностью</w:t>
            </w:r>
            <w:r>
              <w:rPr>
                <w:rFonts w:ascii="Liberation Serif" w:hAnsi="Liberation Serif" w:eastAsia="Calibri" w:cs="Liberation Serif"/>
              </w:rPr>
              <w:t xml:space="preserve"> применения сервисов самообслуживания и при необходимости контакта клиентов с оператором с использованием трансляции их видеоизображения в онлайн-режиме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Виртуальный консультант (чат-бот)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Чат-бот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Разновидность программного робота для письменного общения с клиентами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 xml:space="preserve">Внутренний нормативный документ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ВНД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Внутренний нормативный документ Общества, регламентирующий деятельность и утверждаемый приказом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Жалоба (претензия)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 обращения клиентов в адрес 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ПАО «Саратовэнерго»</w:t>
            </w:r>
            <w:r>
              <w:rPr>
                <w:rFonts w:ascii="Liberation Serif" w:hAnsi="Liberation Serif" w:cs="Liberation Serif"/>
              </w:rPr>
              <w:t xml:space="preserve"> о восстановлении нарушенных прав или охраняемых законом интересов клиентов, а также о ненадлежащем исполнении договорных обязательств, оказания услуг и (или) предоставлении товаров, о ненадлежащем качестве обслуживания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Заочное обслуживание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Обслуживание клиентов без личного контакта с работниками гарантирующего поставщика (привлеченного им третьего лица) посредством телефона, сети Интернет или почты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  <w:lang w:val="en-US"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Интерактивный</w:t>
            </w:r>
            <w:r>
              <w:rPr>
                <w:rFonts w:ascii="Liberation Serif" w:hAnsi="Liberation Serif" w:cs="Liberation Serif"/>
                <w:bCs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 xml:space="preserve">автоответчик</w:t>
            </w:r>
            <w:r>
              <w:rPr>
                <w:rFonts w:ascii="Liberation Serif" w:hAnsi="Liberation Serif" w:cs="Liberation Serif"/>
                <w:bCs/>
                <w:lang w:val="en-US"/>
              </w:rPr>
              <w:t xml:space="preserve"> (Interactive Voice Response)</w:t>
            </w:r>
            <w:r>
              <w:rPr>
                <w:rFonts w:ascii="Liberation Serif" w:hAnsi="Liberation Serif" w:cs="Liberation Serif"/>
                <w:bCs/>
                <w:lang w:val="en-US"/>
              </w:rPr>
            </w:r>
            <w:r>
              <w:rPr>
                <w:rFonts w:ascii="Liberation Serif" w:hAnsi="Liberation Serif" w:cs="Liberation Serif"/>
                <w:bCs/>
                <w:lang w:val="en-US"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IVR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pStyle w:val="1188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Многоуровн</w:t>
            </w:r>
            <w:r>
              <w:rPr>
                <w:rFonts w:ascii="Liberation Serif" w:hAnsi="Liberation Serif" w:cs="Liberation Serif"/>
                <w:szCs w:val="24"/>
              </w:rPr>
              <w:t xml:space="preserve">евая система голосового меню – аналог автоответчика: программно-аппаратный комплекс, обеспечивающий воспроизведение голосовых фрагментов (приветствий, сообщений, мелодий и проч.) в процессе обработки входящих вызовов клиентов с помощью тонального набора ил</w:t>
            </w:r>
            <w:r>
              <w:rPr>
                <w:rFonts w:ascii="Liberation Serif" w:hAnsi="Liberation Serif" w:cs="Liberation Serif"/>
                <w:szCs w:val="24"/>
              </w:rPr>
              <w:t xml:space="preserve">и голосовых команд</w:t>
            </w:r>
            <w:r>
              <w:rPr>
                <w:rFonts w:ascii="Liberation Serif" w:hAnsi="Liberation Serif" w:cs="Liberation Serif"/>
                <w:szCs w:val="24"/>
              </w:rPr>
            </w:r>
            <w:r>
              <w:rPr>
                <w:rFonts w:ascii="Liberation Serif" w:hAnsi="Liberation Serif" w:cs="Liberation Serif"/>
                <w:szCs w:val="24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Качество обслуживания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Совокупность характеристик процесса и условий обслуживания, обеспечивающих удовлетворение выявленных и предполагаемых потребностей клиентов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Клиент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 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 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Заказчик, покупатель, потребитель электрической энергии, имеющий намерение заключить либо заключивший договор энергоснабжения (купли-продажи (поставки) электрической энергии (мощности)), товаров и (или) услуг компании, плательщик. К клиентам относятся физи</w:t>
            </w:r>
            <w:r>
              <w:rPr>
                <w:rFonts w:ascii="Liberation Serif" w:hAnsi="Liberation Serif" w:cs="Liberation Serif"/>
              </w:rPr>
              <w:t xml:space="preserve">ческие лица (В2С), юридические лица, индивидуальные предприниматели (В2В), принципалы (В2В2С)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Личный кабинет клиента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ЛКК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Отдельный раздел на официальном сайте гарантирующего поставщика или в</w:t>
            </w:r>
            <w:r>
              <w:rPr>
                <w:rFonts w:ascii="Liberation Serif" w:hAnsi="Liberation Serif" w:cs="Liberation Serif"/>
              </w:rPr>
              <w:t xml:space="preserve"> мобильном приложении, где обеспечивается возможность создания и управления учетными записями, обмена информацией, в том числе в целях осуществления юридически значимых действий, между клиентом и гарантирующим поставщиком в электронной форме, включая напра</w:t>
            </w:r>
            <w:r>
              <w:rPr>
                <w:rFonts w:ascii="Liberation Serif" w:hAnsi="Liberation Serif" w:cs="Liberation Serif"/>
              </w:rPr>
              <w:t xml:space="preserve">вление документов, сведений, обращений и получение информации, позволяющий предоставлять и получать дистанционный доступ к сведениям о заключенном (планируемом к заключению) договоре энергоснабжения (купли-продажи (поставке) электрической энергии (мощности</w:t>
            </w:r>
            <w:r>
              <w:rPr>
                <w:rFonts w:ascii="Liberation Serif" w:hAnsi="Liberation Serif" w:cs="Liberation Serif"/>
              </w:rPr>
              <w:t xml:space="preserve">)), его исполнении, иным услугам, а также иной информации, предоставляемым гарантирующим поставщиком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Мобильное приложение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Программное обеспечение гарантирующего поставщика, предназначенное для работы в личном кабинете клиента на смартфонах, планшетах и других мобильных устройствах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Обращение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Письменное или устное заявление клиента в адрес гарантирующего поставщика по вопрос</w:t>
            </w:r>
            <w:r>
              <w:rPr>
                <w:rFonts w:ascii="Liberation Serif" w:hAnsi="Liberation Serif" w:cs="Liberation Serif"/>
              </w:rPr>
              <w:t xml:space="preserve">ам снабжения электрической энергией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Общество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ПАО «Саратовэнерго»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 xml:space="preserve">Объединенный контактный центр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ОКЦ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Совокупность оборудования, программного обеспечения, работников (которые занимаются обработкой обращений и информированием по голосовым, электронным каналам связи), процессов для обеспечения обслуживания клиентов посредством многоканального номера телефона</w:t>
            </w:r>
            <w:r>
              <w:rPr>
                <w:rFonts w:ascii="Liberation Serif" w:hAnsi="Liberation Serif" w:cs="Liberation Serif"/>
              </w:rPr>
              <w:t xml:space="preserve">, сети Интернет или почты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Официальный сайт гарантирующего поставщика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Информационный ресурс, объединяющий под одним адресом (доменным именем или IP-адресом) совокупность документов и сервисов 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ПАО «Саратовэнерго»</w:t>
            </w:r>
            <w:r>
              <w:rPr>
                <w:rFonts w:ascii="Liberation Serif" w:hAnsi="Liberation Serif" w:cs="Liberation Serif"/>
              </w:rPr>
              <w:t xml:space="preserve"> – гарантирующего поставщика в сети Интерне</w:t>
            </w:r>
            <w:r>
              <w:rPr>
                <w:rFonts w:ascii="Liberation Serif" w:hAnsi="Liberation Serif" w:cs="Liberation Serif"/>
              </w:rPr>
              <w:t xml:space="preserve">т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Очное обслуживание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Обслуживание клиентов посредством личного контакта с работниками гарантирующего поставщика (привлеченного им третьего лица), осуществляемое в центрах обслуживания клиентов, а также в иных подразделениях и (или) территориальных отдел</w:t>
            </w:r>
            <w:r>
              <w:rPr>
                <w:rFonts w:ascii="Liberation Serif" w:hAnsi="Liberation Serif" w:cs="Liberation Serif"/>
              </w:rPr>
              <w:t xml:space="preserve">ениях гарантирующего поставщика либо привлеченного им для этих целей третьего лица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/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СМС-сообщение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СМС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Короткое текстовое сообщение, состоящее из букв или символов, набранных в определенной последовательности, предназначенное для передачи по сети подвижной радиотелефонной связи и радиосвязи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>
          <w:trHeight w:val="1619"/>
        </w:trPr>
        <w:tblPrEx/>
        <w:tc>
          <w:tcPr>
            <w:tcW w:w="2552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Центр обслуживания клиентов</w: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  <w:tc>
          <w:tcPr>
            <w:tcW w:w="1559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 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387" w:type="dxa"/>
            <w:shd w:val="clear" w:color="auto" w:fill="auto"/>
            <w:noWrap w:val="false"/>
            <w:textDirection w:val="lrTb"/>
            <w:vAlign w:val="center"/>
          </w:tcPr>
          <w:p>
            <w:pPr>
              <w:widowControl w:val="off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Подразделение, предназначенное для о</w:t>
            </w:r>
            <w:r>
              <w:rPr>
                <w:rFonts w:ascii="Liberation Serif" w:hAnsi="Liberation Serif" w:cs="Liberation Serif"/>
              </w:rPr>
              <w:t xml:space="preserve">существления очного обслуживания клиентов по вопросам, относящимся к деятельности гарантирующего поставщика, и расположенное в его зоне деятельности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</w:tbl>
    <w:p>
      <w:pPr>
        <w:pStyle w:val="1144"/>
        <w:spacing w:before="0" w:after="0"/>
      </w:pPr>
      <w:bookmarkStart w:id="17" w:name="_Toc219469542"/>
      <w:bookmarkStart w:id="18" w:name="_Toc99350737"/>
      <w:bookmarkStart w:id="19" w:name="_Toc164693134"/>
      <w:bookmarkStart w:id="20" w:name="_Toc167101897"/>
      <w:bookmarkStart w:id="21" w:name="_Toc289065030"/>
      <w:bookmarkStart w:id="22" w:name="_Toc289069691"/>
      <w:bookmarkStart w:id="23" w:name="_Toc290454985"/>
      <w:bookmarkStart w:id="24" w:name="_Toc294257118"/>
      <w:bookmarkStart w:id="25" w:name="_Toc294260866"/>
      <w:r>
        <w:t xml:space="preserve">Цели Стандарта</w:t>
      </w:r>
      <w:bookmarkEnd w:id="17"/>
      <w:bookmarkEnd w:id="18"/>
      <w:bookmarkEnd w:id="19"/>
      <w:bookmarkEnd w:id="20"/>
    </w:p>
    <w:p>
      <w:pPr>
        <w:pStyle w:val="1103"/>
        <w:contextualSpacing/>
        <w:rPr>
          <w:spacing w:val="0"/>
        </w:rPr>
      </w:pPr>
      <w:r>
        <w:rPr>
          <w:spacing w:val="0"/>
        </w:rPr>
        <w:t xml:space="preserve">Целями настоящего Стандарта является </w:t>
      </w:r>
      <w:r>
        <w:rPr>
          <w:spacing w:val="0"/>
        </w:rPr>
        <w:t xml:space="preserve">установление норм и правил взаимодействия гарантирующего поставщика с клиентами, единых требований к качеству очного обслуживания и заочного обслуживания, оптимизация и </w:t>
      </w:r>
      <w:r>
        <w:t xml:space="preserve">формализация процедур взаимодействия гарантирующего поставщика и клиента.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contextualSpacing/>
        <w:rPr>
          <w:spacing w:val="0"/>
        </w:rPr>
      </w:pPr>
      <w:r>
        <w:rPr>
          <w:spacing w:val="0"/>
        </w:rPr>
        <w:t xml:space="preserve">Настоящий Ста</w:t>
      </w:r>
      <w:r>
        <w:rPr>
          <w:spacing w:val="0"/>
        </w:rPr>
        <w:t xml:space="preserve">ндарт устанавливает требования к следующим процессам: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0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взаимодействие с клиентами при очном и заочном обслуживании;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0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реагирование на обращения клиентов и обеспечение обратной связи;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0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оценка степени удовлетворенности качеством обслуживания гарантирующим постав</w:t>
      </w:r>
      <w:r>
        <w:rPr>
          <w:spacing w:val="0"/>
        </w:rPr>
        <w:t xml:space="preserve">щиком.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contextualSpacing/>
        <w:rPr>
          <w:spacing w:val="0"/>
        </w:rPr>
      </w:pPr>
      <w:r>
        <w:rPr>
          <w:spacing w:val="0"/>
        </w:rPr>
        <w:t xml:space="preserve">Настоящий Стандарт определяет основные направления повышения удовлетворенности клиентов качеством обслуживания: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1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оперативное реагирование на обращения клиентов, сокращение времени решения вопросов;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1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оптимизация затрат клиентов и гарантирующего поставщ</w:t>
      </w:r>
      <w:r>
        <w:rPr>
          <w:spacing w:val="0"/>
        </w:rPr>
        <w:t xml:space="preserve">ика;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1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создание комфортных условий и доброжелательного отношения к клиентам.</w:t>
      </w:r>
      <w:r>
        <w:rPr>
          <w:spacing w:val="0"/>
        </w:rPr>
      </w:r>
      <w:r>
        <w:rPr>
          <w:spacing w:val="0"/>
        </w:rPr>
      </w:r>
    </w:p>
    <w:p>
      <w:pPr>
        <w:pStyle w:val="1144"/>
        <w:spacing w:before="0" w:after="0"/>
      </w:pPr>
      <w:bookmarkStart w:id="26" w:name="_Toc164693135"/>
      <w:bookmarkStart w:id="27" w:name="_Toc219469543"/>
      <w:r>
        <w:t xml:space="preserve">Принципы взаимодействия гарантирующего поставщика с клиентами</w:t>
      </w:r>
      <w:bookmarkEnd w:id="26"/>
      <w:bookmarkEnd w:id="27"/>
    </w:p>
    <w:p>
      <w:pPr>
        <w:pStyle w:val="905"/>
        <w:spacing w:before="0" w:after="0"/>
        <w:rPr>
          <w:spacing w:val="0"/>
        </w:rPr>
      </w:pPr>
      <w:bookmarkStart w:id="28" w:name="_Toc219469544"/>
      <w:r>
        <w:rPr>
          <w:spacing w:val="0"/>
        </w:rPr>
        <w:t xml:space="preserve">Основные принципы взаимодействия</w:t>
      </w:r>
      <w:bookmarkEnd w:id="28"/>
      <w:r>
        <w:rPr>
          <w:spacing w:val="0"/>
        </w:rPr>
      </w:r>
      <w:r>
        <w:rPr>
          <w:spacing w:val="0"/>
        </w:rPr>
      </w:r>
    </w:p>
    <w:p>
      <w:pPr>
        <w:pStyle w:val="1103"/>
        <w:contextualSpacing/>
        <w:rPr>
          <w:spacing w:val="0"/>
        </w:rPr>
      </w:pPr>
      <w:r>
        <w:rPr>
          <w:spacing w:val="0"/>
        </w:rPr>
        <w:t xml:space="preserve">Основными принципами взаимодействия гарантирующего поставщика с клиентами являются качество обслуживания и его доступность, под которыми понимаются: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2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территориальная доступность – клиентам предоставляется качественное обслуживание и оперативное рассмотрение</w:t>
      </w:r>
      <w:r>
        <w:rPr>
          <w:spacing w:val="0"/>
        </w:rPr>
        <w:t xml:space="preserve"> обращений, независимо от удаленности места проживания, при наличии технической возможности;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2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организационная доступность – правила пользования услугами гарантирующего поставщика должны быть прозрачны и исполнимы;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2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информационная доступность – полная и досто</w:t>
      </w:r>
      <w:r>
        <w:rPr>
          <w:spacing w:val="0"/>
        </w:rPr>
        <w:t xml:space="preserve">верная информация обо всех процедурах взаимодействия с гарантирующим поставщиком носит публичный характер и предоставляется в доступной форме. Клиенты информируются:</w:t>
      </w:r>
      <w:r>
        <w:rPr>
          <w:spacing w:val="0"/>
        </w:rPr>
      </w:r>
      <w:r>
        <w:rPr>
          <w:spacing w:val="0"/>
        </w:rPr>
      </w:r>
    </w:p>
    <w:p>
      <w:pPr>
        <w:pStyle w:val="1188"/>
        <w:numPr>
          <w:numId w:val="19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порядке заключения договора энергоснабжения (купли-продажи (поставки) электрической энер</w:t>
      </w:r>
      <w:r>
        <w:rPr>
          <w:rFonts w:ascii="Liberation Serif" w:hAnsi="Liberation Serif" w:cs="Liberation Serif"/>
          <w:sz w:val="28"/>
          <w:szCs w:val="28"/>
        </w:rPr>
        <w:t xml:space="preserve">гии (мощности)), договора предоставления коммунальной услуги по электроснабжению;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19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порядке и способах оплаты;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19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порядке расчета стоимости электрической энергии (мощности) и услуг;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19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порядке формирования и размере тарифов (нерегулируемых цен) на электричес</w:t>
      </w:r>
      <w:r>
        <w:rPr>
          <w:rFonts w:ascii="Liberation Serif" w:hAnsi="Liberation Serif" w:cs="Liberation Serif"/>
          <w:sz w:val="28"/>
          <w:szCs w:val="28"/>
        </w:rPr>
        <w:t xml:space="preserve">кую энергию (мощность);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19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иных процессах, осуществляемых между гарантирующим поставщиком и клиентом.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05"/>
        <w:spacing w:before="0" w:after="0"/>
        <w:rPr>
          <w:spacing w:val="0"/>
        </w:rPr>
      </w:pPr>
      <w:bookmarkStart w:id="29" w:name="_Toc219469545"/>
      <w:r>
        <w:rPr>
          <w:spacing w:val="0"/>
        </w:rPr>
        <w:t xml:space="preserve">Основные принципы обслуживания</w:t>
      </w:r>
      <w:bookmarkEnd w:id="29"/>
      <w:r>
        <w:rPr>
          <w:spacing w:val="0"/>
        </w:rPr>
      </w:r>
      <w:r>
        <w:rPr>
          <w:spacing w:val="0"/>
        </w:rPr>
      </w:r>
    </w:p>
    <w:p>
      <w:pPr>
        <w:pStyle w:val="1103"/>
        <w:contextualSpacing/>
        <w:rPr>
          <w:spacing w:val="0"/>
        </w:rPr>
      </w:pPr>
      <w:r>
        <w:rPr>
          <w:spacing w:val="0"/>
        </w:rPr>
        <w:t xml:space="preserve">Обслуживание клиентов основано на следующих принципах: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3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обратная связь – гарантирующий поставщик уведомляет о результатах ра</w:t>
      </w:r>
      <w:r>
        <w:rPr>
          <w:spacing w:val="0"/>
        </w:rPr>
        <w:t xml:space="preserve">ссмотрения обращения клиента;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3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объективность – обеспечивается объективное и непредвзятое рассмотрение обращений в установленные сроки исходя из предположения добросовестности и разумности клиента. При рассмотрении обращений граждан, а также индивидуальных п</w:t>
      </w:r>
      <w:r>
        <w:rPr>
          <w:spacing w:val="0"/>
        </w:rPr>
        <w:t xml:space="preserve">редпринимателей учитывается, что клиент не является профессиональным участником рынков электрической энергии (мощности);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3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«одно окно» – за одно обращение клиент может задать несколько интересующих его вопросов и получить на каждый из них ответ по существу, </w:t>
      </w:r>
      <w:r>
        <w:rPr>
          <w:spacing w:val="0"/>
        </w:rPr>
        <w:t xml:space="preserve">а если решение вопроса требует дополнительного изучения документов, должна быть предоставлена информация о сроках и форме предоставления ответов, при этом гарантирующий поставщик вправе отказать клиенту в рассмотрении вопроса по существу в случае, если он </w:t>
      </w:r>
      <w:r>
        <w:rPr>
          <w:spacing w:val="0"/>
        </w:rPr>
        <w:t xml:space="preserve">не относится к сфере деятельности гарантирующего поставщика;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3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защита персональных данных – обработка персональных данных клиентов осуществляется в соответствии с Федеральным законом «О персональных данных». Работники гарантирующего поставщика обязуются собл</w:t>
      </w:r>
      <w:r>
        <w:rPr>
          <w:spacing w:val="0"/>
        </w:rPr>
        <w:t xml:space="preserve">юдать конфиденциальность персональных данных клиентов и обеспечивать безопасность персональных данных при их обработке. Передача документов и информации, полученных от клиентов, третьим лицам допускается только в предусмотренных законом случаях;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3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вежливое</w:t>
      </w:r>
      <w:r>
        <w:rPr>
          <w:spacing w:val="0"/>
        </w:rPr>
        <w:t xml:space="preserve"> и уважительное отношение к клиентам (при этом гарантирующий поставщик вправе отказать клиенту в рассмотрении обращения по существу в случае, если в обращении клиента содержатся нецензурные либо оскорбительные выражения, угрозы в адрес гарантирующего поста</w:t>
      </w:r>
      <w:r>
        <w:rPr>
          <w:spacing w:val="0"/>
        </w:rPr>
        <w:t xml:space="preserve">вщика, имущества, жизни и (или) здоровью работников гарантирующего поставщика).</w:t>
      </w:r>
      <w:r>
        <w:rPr>
          <w:spacing w:val="0"/>
        </w:rPr>
      </w:r>
      <w:r>
        <w:rPr>
          <w:spacing w:val="0"/>
        </w:rPr>
      </w:r>
    </w:p>
    <w:p>
      <w:pPr>
        <w:pStyle w:val="1144"/>
        <w:numPr>
          <w:numId w:val="0"/>
          <w:ilvl w:val="0"/>
        </w:numPr>
        <w:spacing w:before="0" w:after="0"/>
        <w:ind w:left="709"/>
      </w:pPr>
      <w:bookmarkStart w:id="30" w:name="_Toc219469546"/>
    </w:p>
    <w:p>
      <w:pPr>
        <w:pStyle w:val="1144"/>
        <w:spacing w:before="0" w:after="0"/>
      </w:pPr>
      <w:r>
        <w:t xml:space="preserve">Организационно-нормативное обеспечение</w:t>
      </w:r>
      <w:bookmarkEnd w:id="30"/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Общие вопросы организации управления взаимодействия с клиентами определяются в соответствии с локальными нормативными актами, ВНД.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Клиен</w:t>
      </w:r>
      <w:r>
        <w:rPr>
          <w:rFonts w:ascii="Liberation Serif" w:hAnsi="Liberation Serif" w:cs="Liberation Serif"/>
          <w:sz w:val="28"/>
          <w:szCs w:val="28"/>
        </w:rPr>
        <w:t xml:space="preserve">т имеет право выбрать любой способ информационного взаимодействия (очное, заочное) в зависимости от его индивидуальных, технических возможностей и предпочтений.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Система обслуживания клиентов гарантирующего поставщика обеспечивается посредством: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34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квалифициро</w:t>
      </w:r>
      <w:r>
        <w:rPr>
          <w:spacing w:val="0"/>
        </w:rPr>
        <w:t xml:space="preserve">ванных специалистов, ответственных за взаимодействие с клиентами и организацию их обслуживания;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4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центров обслуживания клиентов;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4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компьютерного оборудования и программного обеспечения для регистрации, обработки обращений клиентов и формирования отчетов;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4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t xml:space="preserve">форма</w:t>
      </w:r>
      <w:r>
        <w:t xml:space="preserve">лизованных бизнес-процессов взаимодействия гарантирующего</w:t>
      </w:r>
      <w:r>
        <w:rPr>
          <w:spacing w:val="0"/>
        </w:rPr>
        <w:t xml:space="preserve"> поставщика с клиентами.</w:t>
      </w:r>
      <w:r>
        <w:rPr>
          <w:spacing w:val="0"/>
        </w:rPr>
      </w:r>
      <w:r>
        <w:rPr>
          <w:spacing w:val="0"/>
        </w:rPr>
      </w:r>
    </w:p>
    <w:p>
      <w:pPr>
        <w:pStyle w:val="1188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Обслуживание гарантирующим поставщиком клиентов осуществляется в том числе с соблюдением следующих требований: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35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опубликование (размещение) форм договоров энергоснабжения (купл</w:t>
      </w:r>
      <w:r>
        <w:rPr>
          <w:spacing w:val="0"/>
        </w:rPr>
        <w:t xml:space="preserve">и-продажи (поставки) электрической энергии (мощности)) на официальном сайте гарантирующего поставщика и в центрах обслуживания клиентов;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5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обеспечение приема показаний приборов учета от клиентов способами, допускающими возможность удаленной передачи показани</w:t>
      </w:r>
      <w:r>
        <w:rPr>
          <w:spacing w:val="0"/>
        </w:rPr>
        <w:t xml:space="preserve">й приборов учета, – посредством телефона, сети Интернет;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5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обеспечение выставления клиенту счетов на оплату электрической энергии способами, допускающими возможность их удаленной передачи, – посредством почтовой связи, сети Интернет;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5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обеспечение клиенту возм</w:t>
      </w:r>
      <w:r>
        <w:rPr>
          <w:spacing w:val="0"/>
        </w:rPr>
        <w:t xml:space="preserve">ожности внесения платы по договору энергоснабжения (купли-продажи (поставки) электрической энергии (мощности)) различными способами, в том числе непосредственно гарантирующему поставщику без оплаты комиссии;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5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организация приема обращений клиентов по вопроса</w:t>
      </w:r>
      <w:r>
        <w:rPr>
          <w:spacing w:val="0"/>
        </w:rPr>
        <w:t xml:space="preserve">м прекращения поставки электрической энергии, а также оповещения клиентов о причинах прекращения поставки электрической энергии;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5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обеспечение приема обращений клиентов по вопросам организации коммерческого учета электрической энергии.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tabs>
          <w:tab w:val="left" w:pos="1134" w:leader="none"/>
        </w:tabs>
        <w:ind w:left="709" w:firstLine="0"/>
        <w:contextualSpacing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1144"/>
        <w:spacing w:before="0" w:after="0"/>
      </w:pPr>
      <w:bookmarkStart w:id="31" w:name="_Toc219469547"/>
      <w:r>
        <w:t xml:space="preserve">Инфраструктура очного обслуживания</w:t>
      </w:r>
      <w:r>
        <w:rPr>
          <w:rStyle w:val="1174"/>
        </w:rPr>
        <w:footnoteReference w:id="3"/>
      </w:r>
      <w:bookmarkEnd w:id="31"/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Очное обслуживание клиентов гарантирующего поставщика осуществляется в центрах обслуживания клиентов. Перечень центров обслуживания клиентов, адреса, часы работы, контактные телефоны (при наличии выделенных телефонных но</w:t>
      </w:r>
      <w:r>
        <w:rPr>
          <w:rFonts w:ascii="Liberation Serif" w:hAnsi="Liberation Serif" w:cs="Liberation Serif"/>
          <w:sz w:val="28"/>
          <w:szCs w:val="28"/>
        </w:rPr>
        <w:t xml:space="preserve">меров) и адреса электронной почты (при наличии) указываются на официальном сайте гарантирующего поставщика.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Режим и порядок работы центров обслуживания клиентов устанавливаются гарантирующим поставщиком.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Центры обслуживания клиентов обеспечивают территориа</w:t>
      </w:r>
      <w:r>
        <w:rPr>
          <w:rFonts w:ascii="Liberation Serif" w:hAnsi="Liberation Serif" w:cs="Liberation Serif"/>
          <w:sz w:val="28"/>
          <w:szCs w:val="28"/>
        </w:rPr>
        <w:t xml:space="preserve">льную, организационную и информационную доступность клиентам и функционируют на основе принципов, указанных в пункте 4.2 настоящего Стандарта.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05"/>
        <w:spacing w:before="0" w:after="0"/>
        <w:rPr>
          <w:spacing w:val="0"/>
        </w:rPr>
      </w:pPr>
      <w:bookmarkStart w:id="32" w:name="_Toc219469548"/>
      <w:r>
        <w:rPr>
          <w:spacing w:val="0"/>
        </w:rPr>
        <w:t xml:space="preserve">Функции центров обслуживания клиентов</w:t>
      </w:r>
      <w:bookmarkEnd w:id="32"/>
      <w:r>
        <w:rPr>
          <w:spacing w:val="0"/>
        </w:rPr>
      </w:r>
      <w:r>
        <w:rPr>
          <w:spacing w:val="0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Центры обслуживания клиентов выполняют следующие функции: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36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организация обслу</w:t>
      </w:r>
      <w:r>
        <w:rPr>
          <w:spacing w:val="0"/>
        </w:rPr>
        <w:t xml:space="preserve">живания клиентов с учетом положений законодательства Российской Федерации об электроэнергетике, настоящего Стандарта, договора энергоснабжения (купли-продажи (поставки) электрической энергии (мощности)) и договора предоставления коммунальной услуги по элек</w:t>
      </w:r>
      <w:r>
        <w:rPr>
          <w:spacing w:val="0"/>
        </w:rPr>
        <w:t xml:space="preserve">троснабжению;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6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организация предоставления информации, очного консультирования клиентов по всем вопросам, связанным с деятельностью гарантирующего поставщика, предоставление типовых форм документов клиенту;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6"/>
          <w:ilvl w:val="0"/>
        </w:numPr>
        <w:tabs>
          <w:tab w:val="left" w:pos="1134" w:leader="none"/>
        </w:tabs>
        <w:spacing w:line="34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обеспечение приема платежей от клиентов (как минимум, в безналичной форме посредством оплаты через </w:t>
      </w:r>
      <w:r>
        <w:rPr>
          <w:spacing w:val="0"/>
          <w:lang w:val="en-US"/>
        </w:rPr>
        <w:t xml:space="preserve">QR</w:t>
      </w:r>
      <w:r>
        <w:rPr>
          <w:spacing w:val="0"/>
        </w:rPr>
        <w:t xml:space="preserve">-код), за исключением случаев отсутствия возможности обеспечить работу платежных сервисов из-за отсутствия устойчивых каналов связи по причинам, не зависящ</w:t>
      </w:r>
      <w:r>
        <w:rPr>
          <w:spacing w:val="0"/>
        </w:rPr>
        <w:t xml:space="preserve">им от гарантирующего поставщика; 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6"/>
          <w:ilvl w:val="0"/>
        </w:numPr>
        <w:tabs>
          <w:tab w:val="left" w:pos="1134" w:leader="none"/>
        </w:tabs>
        <w:spacing w:line="34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прием заявок на заключение договора энергоснабжения (купли-продажи (поставки) электрической энергии (мощности)) или договора на оказание иных услуг, а также иных документов от клиента, проверка перечня документов, проверка</w:t>
      </w:r>
      <w:r>
        <w:rPr>
          <w:spacing w:val="0"/>
        </w:rPr>
        <w:t xml:space="preserve"> полноты сведений в заявке, анализ документов на соответствие требованиям к документам, установленным нормативными правовыми актами;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6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выдача клиентам документов, связанных с реализацией договора энергоснабжения (купли-продажи (поставки) электрической энерги</w:t>
      </w:r>
      <w:r>
        <w:rPr>
          <w:spacing w:val="0"/>
        </w:rPr>
        <w:t xml:space="preserve">и (мощности)) или договора предоставления коммунальной услуги по электроснабжению;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6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прием обращений, связанных с деятельностью гарантирующего поставщика или в случаях, предусмотренных законодательством Российской Федерации, сетевой организации.</w:t>
      </w:r>
      <w:r>
        <w:rPr>
          <w:spacing w:val="0"/>
        </w:rPr>
      </w:r>
      <w:r>
        <w:rPr>
          <w:spacing w:val="0"/>
        </w:rPr>
      </w:r>
    </w:p>
    <w:p>
      <w:pPr>
        <w:pStyle w:val="905"/>
        <w:spacing w:before="0" w:after="0"/>
        <w:rPr>
          <w:spacing w:val="0"/>
        </w:rPr>
      </w:pPr>
      <w:bookmarkStart w:id="33" w:name="_Toc219469549"/>
      <w:r>
        <w:rPr>
          <w:spacing w:val="0"/>
        </w:rPr>
        <w:t xml:space="preserve">Организация </w:t>
      </w:r>
      <w:r>
        <w:rPr>
          <w:spacing w:val="0"/>
        </w:rPr>
        <w:t xml:space="preserve">доступа к центру обслуживания клиентов</w:t>
      </w:r>
      <w:bookmarkEnd w:id="33"/>
      <w:r>
        <w:rPr>
          <w:spacing w:val="0"/>
        </w:rPr>
      </w:r>
      <w:r>
        <w:rPr>
          <w:spacing w:val="0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помещению центра обслуживания клиентов для очного обслуживания обеспечивается беспрепятственный доступ посетителей, в том числе граждан с ограниченными возможностями, в рамках требований законодательства Российской </w:t>
      </w:r>
      <w:r>
        <w:rPr>
          <w:rFonts w:ascii="Liberation Serif" w:hAnsi="Liberation Serif" w:cs="Liberation Serif"/>
          <w:sz w:val="28"/>
          <w:szCs w:val="28"/>
        </w:rPr>
        <w:t xml:space="preserve">Федерации.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Информационные указатели, оформленные в едином корпоративном стиле, размещаются у центрального входа в помещение: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19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вывеска с названием;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19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табличка с информацией о режиме работы.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Вход и выход (включая аварийный) из помещения оборудуются соответствующими указателями.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44"/>
        <w:spacing w:before="0" w:after="0"/>
      </w:pPr>
      <w:bookmarkStart w:id="34" w:name="_Toc219469550"/>
      <w:r>
        <w:t xml:space="preserve">Инфраструктура заочного обслуживания</w:t>
      </w:r>
      <w:r>
        <w:rPr>
          <w:rStyle w:val="1174"/>
        </w:rPr>
        <w:footnoteReference w:id="4"/>
      </w:r>
      <w:bookmarkEnd w:id="34"/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Система заочного обслуживания в качестве способов информационного взаимодействия (с учетом функциональной специфики) включает тел</w:t>
      </w:r>
      <w:r>
        <w:rPr>
          <w:rFonts w:ascii="Liberation Serif" w:hAnsi="Liberation Serif" w:cs="Liberation Serif"/>
          <w:sz w:val="28"/>
          <w:szCs w:val="28"/>
        </w:rPr>
        <w:t xml:space="preserve">ефонную и почтовую связь, а также используются следующие способы информационного взаимодействия: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электронная почта;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ЛКК;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мобильное приложение;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мессенджеры (официальные каналы);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социальные сети;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СМС-сообщение;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виртуальный консультант (чат-бот);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  <w:t xml:space="preserve">официальный </w:t>
      </w:r>
      <w:r>
        <w:rPr>
          <w:spacing w:val="0"/>
        </w:rPr>
        <w:t xml:space="preserve">сайт гарантирующего поставщика;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7"/>
          <w:ilvl w:val="0"/>
        </w:numPr>
        <w:tabs>
          <w:tab w:val="left" w:pos="1134" w:leader="none"/>
        </w:tabs>
        <w:spacing w:line="310" w:lineRule="exact"/>
        <w:ind w:left="0" w:firstLine="709"/>
        <w:contextualSpacing/>
        <w:rPr>
          <w:spacing w:val="0"/>
        </w:rPr>
      </w:pPr>
      <w:r>
        <w:rPr>
          <w:spacing w:val="0"/>
        </w:rPr>
      </w:r>
      <w:r>
        <w:rPr>
          <w:spacing w:val="0"/>
        </w:rPr>
        <w:t xml:space="preserve">иные способы.</w:t>
      </w:r>
      <w:r>
        <w:rPr>
          <w:spacing w:val="0"/>
        </w:rPr>
      </w:r>
      <w:r>
        <w:rPr>
          <w:spacing w:val="0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о многоканальном телефонном номере и других контактных телефонах, по которым клиент может заочно обратиться к гарантирующему поставщику по интересу</w:t>
      </w:r>
      <w:r>
        <w:rPr>
          <w:rFonts w:ascii="Liberation Serif" w:hAnsi="Liberation Serif" w:cs="Liberation Serif"/>
          <w:sz w:val="28"/>
          <w:szCs w:val="28"/>
        </w:rPr>
        <w:t xml:space="preserve">ющим его вопросам, а также времени работы контакт-центра размещается: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официальном сайте;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платежном документе (для граждан-потребителей).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Почтовая переписка может использоваться для направления документации, связанной с обслуживанием в соответствии с </w:t>
      </w:r>
      <w:r>
        <w:rPr>
          <w:rFonts w:ascii="Liberation Serif" w:hAnsi="Liberation Serif" w:cs="Liberation Serif"/>
          <w:sz w:val="28"/>
          <w:szCs w:val="28"/>
        </w:rPr>
        <w:t xml:space="preserve">условиями договора, либо по запросу клиента в случае, когда он в обращении просит направить ответ или документы почтовым отправлением.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Электронная почта или система обратной связи на официальном сайте гарантирующего поставщика используются для направления </w:t>
      </w:r>
      <w:r>
        <w:rPr>
          <w:rFonts w:ascii="Liberation Serif" w:hAnsi="Liberation Serif" w:cs="Liberation Serif"/>
          <w:sz w:val="28"/>
          <w:szCs w:val="28"/>
        </w:rPr>
        <w:t xml:space="preserve">обращений и предоставления ответов гарантирующим поставщиком с учетом ограничений, установленных законодательством Российской Федерации.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предоставления клиентам, обратившимся через Объединенный контактный центр, справочной информации о предоставляемых </w:t>
      </w:r>
      <w:r>
        <w:rPr>
          <w:rFonts w:ascii="Liberation Serif" w:hAnsi="Liberation Serif" w:cs="Liberation Serif"/>
          <w:sz w:val="28"/>
          <w:szCs w:val="28"/>
        </w:rPr>
        <w:t xml:space="preserve">гарантирующим поставщиком услугах может использоваться в том числе интерактивный автоответчик – 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IVR</w:t>
      </w:r>
      <w:r>
        <w:rPr>
          <w:rFonts w:ascii="Liberation Serif" w:hAnsi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trike/>
          <w:sz w:val="28"/>
          <w:szCs w:val="28"/>
        </w:rPr>
      </w:r>
      <w:r>
        <w:rPr>
          <w:rFonts w:ascii="Liberation Serif" w:hAnsi="Liberation Serif" w:cs="Liberation Serif"/>
          <w:strike/>
          <w:sz w:val="28"/>
          <w:szCs w:val="28"/>
        </w:rPr>
      </w:r>
      <w:r>
        <w:rPr>
          <w:rFonts w:ascii="Liberation Serif" w:hAnsi="Liberation Serif" w:cs="Liberation Serif"/>
          <w:strike/>
          <w:sz w:val="28"/>
          <w:szCs w:val="28"/>
        </w:rPr>
      </w:r>
    </w:p>
    <w:p>
      <w:pPr>
        <w:pStyle w:val="1144"/>
        <w:spacing w:before="0" w:after="0"/>
      </w:pPr>
      <w:bookmarkStart w:id="35" w:name="_Toc219469551"/>
      <w:r>
        <w:t xml:space="preserve">Личный кабинет клиента</w:t>
      </w:r>
      <w:bookmarkEnd w:id="35"/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ЛКК</w:t>
      </w:r>
      <w:r>
        <w:rPr>
          <w:rFonts w:ascii="Liberation Serif" w:hAnsi="Liberation Serif" w:cs="Liberation Serif"/>
          <w:sz w:val="28"/>
          <w:szCs w:val="28"/>
        </w:rPr>
        <w:t xml:space="preserve">, создаваемый гарантирующим поставщиком для каждого клиента, реализуется посредством официального сайта гарантирующего поставщика и (или) на базе мобильного приложения. ЛКК является способом получения определенных видов услуг посредством компьютеризированн</w:t>
      </w:r>
      <w:r>
        <w:rPr>
          <w:rFonts w:ascii="Liberation Serif" w:hAnsi="Liberation Serif" w:cs="Liberation Serif"/>
          <w:sz w:val="28"/>
          <w:szCs w:val="28"/>
        </w:rPr>
        <w:t xml:space="preserve">ых устройств (персональный компьютер, смартфон, планшет) без посещения центра обслуживания клиентов.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05"/>
        <w:spacing w:before="0" w:after="0"/>
        <w:rPr>
          <w:spacing w:val="0"/>
        </w:rPr>
      </w:pPr>
      <w:bookmarkStart w:id="36" w:name="_Toc219469552"/>
      <w:r>
        <w:rPr>
          <w:spacing w:val="0"/>
        </w:rPr>
        <w:t xml:space="preserve">Основные функции ЛКК физических лиц</w:t>
      </w:r>
      <w:bookmarkEnd w:id="36"/>
      <w:r>
        <w:rPr>
          <w:spacing w:val="0"/>
        </w:rPr>
      </w:r>
      <w:r>
        <w:rPr>
          <w:spacing w:val="0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Основные функции ЛКК физических лиц: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круглосуточный режим работы сервиса (за исключением плановых технических работ);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заявки на заключение, изменение, расторжение договора энергоснабжения (купли-продажи (поставки) электрической энергии (мощности)), получение проекта договора, дополнительного соглашения, иных документов и актуальной информации, связанной с закл</w:t>
      </w:r>
      <w:r>
        <w:rPr>
          <w:spacing w:val="0"/>
        </w:rPr>
        <w:t xml:space="preserve">ючением, изменением, исполнением и расторжением договора;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обращений на замену (установку, поверку) прибора учета или измерительного трансформатора тока;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передача показаний приборов учета электрической энергии в формате, предусмотренном сервисом</w:t>
      </w:r>
      <w:r>
        <w:rPr>
          <w:spacing w:val="0"/>
        </w:rPr>
        <w:t xml:space="preserve">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оплата с помощью платежной карты или иных сервисов безналичной оплаты;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просмотр информации: </w:t>
      </w:r>
      <w:r>
        <w:rPr>
          <w:spacing w:val="0"/>
        </w:rPr>
      </w:r>
      <w:r>
        <w:rPr>
          <w:spacing w:val="0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поступивших платежах за электроэнергию (детализация платежей); 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текущем балансе лицевого счета;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истории счетов за электроэнергию;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переданных показаниях </w:t>
      </w:r>
      <w:r>
        <w:rPr>
          <w:rFonts w:ascii="Liberation Serif" w:hAnsi="Liberation Serif" w:cs="Liberation Serif"/>
          <w:sz w:val="28"/>
          <w:szCs w:val="28"/>
        </w:rPr>
        <w:t xml:space="preserve">прибора учета; 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параметрах установленного прибора учета;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тарифах на электроэнергию;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способах оплаты потребленной электроэнергии;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прейскуранте на предлагаемые Обществом услуги и о предоставляемых клиентам акциях;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numPr>
          <w:numId w:val="21"/>
          <w:ilvl w:val="0"/>
        </w:numPr>
        <w:tabs>
          <w:tab w:val="left" w:pos="993" w:leader="none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офисах </w:t>
      </w:r>
      <w:r>
        <w:rPr>
          <w:rFonts w:ascii="Liberation Serif" w:hAnsi="Liberation Serif" w:cs="Liberation Serif"/>
          <w:sz w:val="28"/>
          <w:szCs w:val="28"/>
        </w:rPr>
        <w:t xml:space="preserve">обслуживания клиентов и пр.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возможность привязки нескольких лицевых счетов к одной учетной записи;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в адрес гарантирующего поставщика обращений, в том числе претензий, заявлений, справок, иных документов и информации;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клиенту уведомл</w:t>
      </w:r>
      <w:r>
        <w:rPr>
          <w:spacing w:val="0"/>
        </w:rPr>
        <w:t xml:space="preserve">ения об ограничении или приостановлении предоставления коммунальной услуги по электроснабжению;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выгрузка электронной версии платежного документа;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предоставление в случаях и сроки, которые предусмотрены Правилами предоставления доступа к минимальному набору функций интеллектуальных систем учета электрической энергии (мощности), утвержденными постановлением Правительства Российской Федерации от 19.06.</w:t>
      </w:r>
      <w:r>
        <w:rPr>
          <w:spacing w:val="0"/>
        </w:rPr>
        <w:t xml:space="preserve">2020 № 890 «О порядке предоставления доступа к минимальному набору функций интеллектуальных систем учета электрической энергии (мощности)», удаленного доступа к информации и минимальному набору функций интеллектуальной системы учета гарантирующего поставщи</w:t>
      </w:r>
      <w:r>
        <w:rPr>
          <w:spacing w:val="0"/>
        </w:rPr>
        <w:t xml:space="preserve">ка посредством сети Интернет в отношении приборов учета электрической энергии, допущенных в эксплуатацию после 01.01.2022 для целей коммерческого учета электрической энергии (мощности) на розничных рынках электрической энергии и (или) для оказания коммунал</w:t>
      </w:r>
      <w:r>
        <w:rPr>
          <w:spacing w:val="0"/>
        </w:rPr>
        <w:t xml:space="preserve">ьных услуг по электроснабжению.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управление профилем клиента;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8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проведение анкетирования и онлайн-опросов клиентов.</w:t>
      </w:r>
      <w:r>
        <w:rPr>
          <w:spacing w:val="0"/>
        </w:rPr>
      </w:r>
      <w:r>
        <w:rPr>
          <w:spacing w:val="0"/>
        </w:rPr>
      </w:r>
    </w:p>
    <w:p>
      <w:pPr>
        <w:pStyle w:val="905"/>
        <w:spacing w:before="0" w:after="0"/>
        <w:rPr>
          <w:spacing w:val="0"/>
        </w:rPr>
      </w:pPr>
      <w:bookmarkStart w:id="37" w:name="_Toc219469553"/>
      <w:r>
        <w:rPr>
          <w:spacing w:val="0"/>
        </w:rPr>
        <w:t xml:space="preserve">Основные функции ЛКК юридических лиц</w:t>
      </w:r>
      <w:bookmarkEnd w:id="37"/>
      <w:r>
        <w:rPr>
          <w:spacing w:val="0"/>
        </w:rPr>
      </w:r>
      <w:r>
        <w:rPr>
          <w:spacing w:val="0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Основные функции ЛКК юридических лиц: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круглосуточный режим работы сервиса (за исключением плановых техниче</w:t>
      </w:r>
      <w:r>
        <w:rPr>
          <w:spacing w:val="0"/>
        </w:rPr>
        <w:t xml:space="preserve">ских работ);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заявки на заключение, изменение, расторжение договора энергоснабжения (купли-продажи) электрической энергии (мощности)) и получение проекта договора, дополнительного соглашения, иных документов и актуальной информации, связанной с </w:t>
      </w:r>
      <w:r>
        <w:rPr>
          <w:spacing w:val="0"/>
        </w:rPr>
        <w:t xml:space="preserve">заключением, изменением, исполнением и расторжением договора;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обращений на замену (установку, поверку) прибора учета или измерительного трансформатора тока;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передача показаний приборов учета в формате, предусмотренном личным кабинетом клиента;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просмотр детализации начислений по договору энергоснабжения (купли-продажи (поставки) электрической энергии (мощности));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просмотр истории начислений и внесенных платежей;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получение и выгрузка копий платежных документов;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клиенту уведомления об о</w:t>
      </w:r>
      <w:r>
        <w:rPr>
          <w:spacing w:val="0"/>
        </w:rPr>
        <w:t xml:space="preserve">граничении режима потребления электрической энергии (мощности);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направление в адрес гарантирующего поставщика обращений, в том числе претензий, заявлений, справок, иных документов и информации;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39"/>
          <w:ilvl w:val="0"/>
        </w:numPr>
        <w:tabs>
          <w:tab w:val="left" w:pos="1134" w:leader="none"/>
        </w:tabs>
        <w:ind w:left="0" w:firstLine="709"/>
        <w:contextualSpacing/>
        <w:rPr>
          <w:spacing w:val="0"/>
        </w:rPr>
      </w:pPr>
      <w:r>
        <w:rPr>
          <w:spacing w:val="0"/>
        </w:rPr>
        <w:t xml:space="preserve">предоставление в случаях и сроки, которые предусмотрены Правил</w:t>
      </w:r>
      <w:r>
        <w:rPr>
          <w:spacing w:val="0"/>
        </w:rPr>
        <w:t xml:space="preserve">ами предоставления доступа к минимальному набору функций интеллектуальных систем учета электрической энергии (мощности), утвержденными постановлением Правительства Российской Федерации от 19.06.2020 № 890 «О порядке предоставления доступа к минимальному на</w:t>
      </w:r>
      <w:r>
        <w:rPr>
          <w:spacing w:val="0"/>
        </w:rPr>
        <w:t xml:space="preserve">бору функций интеллектуальных систем учета электрической энергии (мощности)», удаленного доступа к информации и минимальному набору функций интеллектуальной системы учета гарантирующего поставщика посредством сети Интернет в отношении приборов учета электр</w:t>
      </w:r>
      <w:r>
        <w:rPr>
          <w:spacing w:val="0"/>
        </w:rPr>
        <w:t xml:space="preserve">ической энергии, допущенных в эксплуатацию после 01.01.2022 для целей коммерческого учета электрической энергии (мощности) на розничных рынках электрической энергии и (или) для оказания коммунальных услуг по электроснабжению.</w:t>
      </w:r>
      <w:r>
        <w:rPr>
          <w:spacing w:val="0"/>
        </w:rPr>
      </w:r>
      <w:r>
        <w:rPr>
          <w:spacing w:val="0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Набор функций личного кабинета</w:t>
      </w:r>
      <w:r>
        <w:rPr>
          <w:rFonts w:ascii="Liberation Serif" w:hAnsi="Liberation Serif" w:cs="Liberation Serif"/>
          <w:sz w:val="28"/>
          <w:szCs w:val="28"/>
        </w:rPr>
        <w:t xml:space="preserve"> клиента определяется гарантирующим поставщиком с учетом функциональности систем информационного взаимодействия с клиентами, а также их востребованности и может быть изменен с целью улучшения качества обслуживания клиентов.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44"/>
        <w:spacing w:before="0" w:after="0"/>
      </w:pPr>
      <w:bookmarkStart w:id="38" w:name="_Toc219469554"/>
      <w:r>
        <w:t xml:space="preserve">Информационные разделы официаль</w:t>
      </w:r>
      <w:r>
        <w:t xml:space="preserve">ного сайта</w:t>
      </w:r>
      <w:bookmarkEnd w:id="38"/>
    </w:p>
    <w:p>
      <w:pPr>
        <w:pStyle w:val="118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Информационные разделы официального сайта ПАО «Саратовэнерго» включают в себя следующую информацию: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перечень документов, необходимых для заключения договора энергоснабжения (купли-продажи (поставки) электрической энергии (мощности)), порядок его</w:t>
      </w:r>
      <w:r>
        <w:rPr>
          <w:spacing w:val="0"/>
        </w:rPr>
        <w:t xml:space="preserve"> заключения;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форма договора энергоснабжения (купли-продажи (поставки) электрической энергии (мощности)), а также форма договора купли-продажи электрической энергии, произведенной на объектах </w:t>
      </w:r>
      <w:r>
        <w:rPr>
          <w:spacing w:val="0"/>
        </w:rPr>
        <w:t xml:space="preserve">микрогенерации</w:t>
      </w:r>
      <w:r>
        <w:rPr>
          <w:spacing w:val="0"/>
        </w:rPr>
        <w:t xml:space="preserve">, расположенных в зоне деятельности гарантирующего поставщика;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способы, порядок и условия внесения платежей по договору энергоснабжения (купли-продажи (поставки) электрической энергии (мощности)), в том числе без оплаты комиссии;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порядок и условия приема показаний приборов учета для расчетов за потребленную электрическую энергию и последствия вывода из строя приборов учета либо отсутствия приборов учета;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возможные последствия нарушения обязательств по оплате</w:t>
      </w:r>
      <w:r>
        <w:t xml:space="preserve"> электрической</w:t>
      </w:r>
      <w:r>
        <w:rPr>
          <w:spacing w:val="0"/>
        </w:rPr>
        <w:t xml:space="preserve"> энергии в</w:t>
      </w:r>
      <w:r>
        <w:rPr>
          <w:spacing w:val="0"/>
        </w:rPr>
        <w:t xml:space="preserve"> виде введения полного и (или) частичного ограничения </w:t>
      </w:r>
      <w:r>
        <w:t xml:space="preserve">режима потребления электрической энергии (ограничения или приостановления</w:t>
      </w:r>
      <w:r>
        <w:rPr>
          <w:spacing w:val="0"/>
        </w:rPr>
        <w:t xml:space="preserve"> предоставления коммунальной услуги по электроснабжению);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</w:pPr>
      <w:r>
        <w:rPr>
          <w:spacing w:val="0"/>
        </w:rPr>
        <w:t xml:space="preserve">порядок расчета стоимости электрической энергии, предельные </w:t>
      </w:r>
      <w:r>
        <w:t xml:space="preserve">уровни нере</w:t>
      </w:r>
      <w:r>
        <w:t xml:space="preserve">гулируемых цен и их составляющие, тарифы и льготы (при наличии);</w:t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график и порядок обслуживания клиентов в центрах обслуживания клиентов, адреса и телефоны (при наличии) центров обслуживания клиентов, категории клиентов (юридические лица, индивидуальные пре</w:t>
      </w:r>
      <w:r>
        <w:rPr>
          <w:spacing w:val="0"/>
        </w:rPr>
        <w:t xml:space="preserve">дприниматели и (или) физические лица), которые обслуживаются в конкретном центре обслуживания клиентов, информация о предоставленных клиентам каналах заочного обслуживания и режиме их работы;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порядок подачи обращений, в том числе претензий к действиям (без</w:t>
      </w:r>
      <w:r>
        <w:rPr>
          <w:spacing w:val="0"/>
        </w:rPr>
        <w:t xml:space="preserve">действию) гарантирующего поставщика, связанным с исполнением договора;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порядок и способы регистрации и авторизации пользователей в личном кабинете клиента (информационной системе);</w:t>
      </w:r>
      <w:r>
        <w:rPr>
          <w:spacing w:val="0"/>
        </w:rPr>
      </w:r>
      <w:r>
        <w:rPr>
          <w:spacing w:val="0"/>
        </w:rPr>
      </w:r>
    </w:p>
    <w:p>
      <w:pPr>
        <w:pStyle w:val="1103"/>
        <w:numPr>
          <w:numId w:val="40"/>
          <w:ilvl w:val="0"/>
        </w:numPr>
        <w:tabs>
          <w:tab w:val="left" w:pos="1134" w:leader="none"/>
        </w:tabs>
        <w:ind w:left="0" w:firstLine="709"/>
        <w:rPr>
          <w:spacing w:val="0"/>
        </w:rPr>
      </w:pPr>
      <w:r>
        <w:rPr>
          <w:spacing w:val="0"/>
        </w:rPr>
        <w:t xml:space="preserve">предложение способов решения и ответов по наиболее часто задаваемым вопроса</w:t>
      </w:r>
      <w:r>
        <w:rPr>
          <w:spacing w:val="0"/>
        </w:rPr>
        <w:t xml:space="preserve">м, возникающим у клиентов.</w:t>
      </w:r>
      <w:bookmarkEnd w:id="21"/>
      <w:bookmarkEnd w:id="22"/>
      <w:bookmarkEnd w:id="23"/>
      <w:bookmarkEnd w:id="24"/>
      <w:bookmarkEnd w:id="25"/>
      <w:r>
        <w:rPr>
          <w:spacing w:val="0"/>
        </w:rPr>
      </w:r>
      <w:r>
        <w:rPr>
          <w:spacing w:val="0"/>
        </w:rPr>
      </w:r>
    </w:p>
    <w:sectPr>
      <w:footnotePr/>
      <w:endnotePr/>
      <w:type w:val="nextPage"/>
      <w:pgSz w:w="11906" w:h="16838" w:orient="portrait"/>
      <w:pgMar w:top="1134" w:right="709" w:bottom="1134" w:left="1701" w:header="709" w:footer="62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 Полужирный">
    <w:panose1 w:val="03000500000000000000"/>
  </w:font>
  <w:font w:name="Calibri">
    <w:panose1 w:val="020F0502020204030204"/>
  </w:font>
  <w:font w:name="Liberation Serif">
    <w:panose1 w:val="02020603050405020304"/>
  </w:font>
  <w:font w:name="Tahoma">
    <w:panose1 w:val="020B0604030504040204"/>
  </w:font>
  <w:font w:name="Courier New">
    <w:panose1 w:val="020704090202050204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4"/>
      <w:jc w:val="center"/>
      <w:rPr>
        <w:rFonts w:ascii="Liberation Serif" w:hAnsi="Liberation Serif" w:cs="Liberation Serif"/>
      </w:rPr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PAGE   \* MERGEFORMAT</w:instrText>
    </w:r>
    <w:r>
      <w:rPr>
        <w:rFonts w:ascii="Liberation Serif" w:hAnsi="Liberation Serif" w:cs="Liberation Serif"/>
      </w:rPr>
      <w:fldChar w:fldCharType="separate"/>
    </w:r>
    <w:r>
      <w:rPr>
        <w:rFonts w:ascii="Liberation Serif" w:hAnsi="Liberation Serif" w:cs="Liberation Serif"/>
      </w:rPr>
      <w:t xml:space="preserve">12</w:t>
    </w:r>
    <w:r>
      <w:rPr>
        <w:rFonts w:ascii="Liberation Serif" w:hAnsi="Liberation Serif" w:cs="Liberation Serif"/>
      </w:rPr>
      <w:fldChar w:fldCharType="end"/>
    </w:r>
    <w:r>
      <w:rPr>
        <w:rFonts w:ascii="Liberation Serif" w:hAnsi="Liberation Serif" w:cs="Liberation Serif"/>
      </w:rPr>
    </w:r>
    <w:r>
      <w:rPr>
        <w:rFonts w:ascii="Liberation Serif" w:hAnsi="Liberation Serif" w:cs="Liberation Serif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4"/>
      <w:framePr w:wrap="around" w:vAnchor="text" w:hAnchor="margin" w:xAlign="right" w:y="1"/>
      <w:rPr>
        <w:rStyle w:val="1096"/>
      </w:rPr>
    </w:pPr>
    <w:r>
      <w:rPr>
        <w:rStyle w:val="1096"/>
      </w:rPr>
      <w:fldChar w:fldCharType="begin"/>
    </w:r>
    <w:r>
      <w:rPr>
        <w:rStyle w:val="1096"/>
      </w:rPr>
      <w:instrText xml:space="preserve">PAGE  </w:instrText>
    </w:r>
    <w:r>
      <w:rPr>
        <w:rStyle w:val="1096"/>
      </w:rPr>
      <w:fldChar w:fldCharType="separate"/>
    </w:r>
    <w:r>
      <w:rPr>
        <w:rStyle w:val="1096"/>
      </w:rPr>
      <w:t xml:space="preserve">43</w:t>
    </w:r>
    <w:r>
      <w:rPr>
        <w:rStyle w:val="1096"/>
      </w:rPr>
      <w:fldChar w:fldCharType="end"/>
    </w:r>
    <w:r>
      <w:rPr>
        <w:rStyle w:val="1096"/>
      </w:rPr>
    </w:r>
    <w:r>
      <w:rPr>
        <w:rStyle w:val="1096"/>
      </w:rPr>
    </w:r>
  </w:p>
  <w:p>
    <w:pPr>
      <w:pStyle w:val="109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1">
    <w:p/>
  </w:footnote>
  <w:footnote w:id="3">
    <w:p>
      <w:pPr>
        <w:pStyle w:val="1120"/>
        <w:jc w:val="both"/>
        <w:rPr>
          <w:rFonts w:ascii="Liberation Serif" w:hAnsi="Liberation Serif" w:cs="Liberation Serif"/>
        </w:rPr>
      </w:pPr>
      <w:r>
        <w:rPr>
          <w:rStyle w:val="1174"/>
          <w:rFonts w:ascii="Liberation Serif" w:hAnsi="Liberation Serif" w:cs="Liberation Serif"/>
        </w:rPr>
        <w:footnoteRef/>
      </w:r>
      <w:r>
        <w:rPr>
          <w:rFonts w:ascii="Liberation Serif" w:hAnsi="Liberation Serif" w:cs="Liberation Serif"/>
        </w:rPr>
        <w:t xml:space="preserve"> Пункты настоящего Стандарта применяются к третьим лицам, привлеченным гарантирующим поставщиком на основании соответствующего договора обслуживания клиентов.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</w:footnote>
  <w:footnote w:id="4">
    <w:p>
      <w:pPr>
        <w:pStyle w:val="1120"/>
        <w:jc w:val="both"/>
        <w:rPr>
          <w:rFonts w:ascii="Liberation Serif" w:hAnsi="Liberation Serif" w:cs="Liberation Serif"/>
        </w:rPr>
      </w:pPr>
      <w:r>
        <w:rPr>
          <w:rStyle w:val="1174"/>
          <w:rFonts w:ascii="Liberation Serif" w:hAnsi="Liberation Serif" w:cs="Liberation Serif"/>
        </w:rPr>
        <w:footnoteRef/>
      </w:r>
      <w:r>
        <w:rPr>
          <w:rFonts w:ascii="Liberation Serif" w:hAnsi="Liberation Serif" w:cs="Liberation Serif"/>
        </w:rPr>
        <w:t xml:space="preserve"> Пункты настоящего Стандарта применяются к третьим лицам, прив</w:t>
      </w:r>
      <w:r>
        <w:rPr>
          <w:rFonts w:ascii="Liberation Serif" w:hAnsi="Liberation Serif" w:cs="Liberation Serif"/>
        </w:rPr>
        <w:t xml:space="preserve">леченным гарантирующим поставщиком на основании соответствующего договора обслуживания клиентов.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526" w:type="dxa"/>
      <w:tblInd w:w="-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3227"/>
      <w:gridCol w:w="6299"/>
    </w:tblGrid>
    <w:tr>
      <w:trPr>
        <w:trHeight w:val="230"/>
      </w:trPr>
      <w:tblPrEx/>
      <w:tc>
        <w:tcPr>
          <w:tcW w:w="3227" w:type="dxa"/>
          <w:vMerge w:val="restart"/>
          <w:shd w:val="clear" w:color="auto" w:fill="auto"/>
          <w:noWrap w:val="false"/>
          <w:textDirection w:val="lrTb"/>
          <w:vAlign w:val="center"/>
        </w:tcPr>
        <w:p>
          <w:pPr>
            <w:pStyle w:val="1101"/>
            <w:widowControl w:val="off"/>
            <w:tabs>
              <w:tab w:val="right" w:pos="3011" w:leader="none"/>
              <w:tab w:val="clear" w:pos="9355" w:leader="none"/>
            </w:tabs>
            <w:jc w:val="center"/>
            <w:rPr>
              <w:sz w:val="20"/>
              <w:szCs w:val="20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591310" cy="377825"/>
                    <wp:effectExtent l="0" t="0" r="0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00818208" name="Picture 9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591309" cy="3778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25.30pt;height:29.75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6299" w:type="dxa"/>
          <w:vMerge w:val="restart"/>
          <w:shd w:val="clear" w:color="auto" w:fill="auto"/>
          <w:noWrap w:val="false"/>
          <w:textDirection w:val="lrTb"/>
          <w:vAlign w:val="center"/>
        </w:tcPr>
        <w:p>
          <w:pPr>
            <w:pStyle w:val="1188"/>
            <w:jc w:val="both"/>
            <w:rPr>
              <w:rFonts w:ascii="Liberation Serif" w:hAnsi="Liberation Serif" w:cs="Liberation Serif"/>
              <w:b/>
              <w:bCs/>
              <w:sz w:val="20"/>
            </w:rPr>
          </w:pPr>
          <w:r>
            <w:rPr>
              <w:rFonts w:ascii="Liberation Serif" w:hAnsi="Liberation Serif" w:cs="Liberation Serif"/>
              <w:b/>
              <w:sz w:val="20"/>
            </w:rPr>
            <w:t xml:space="preserve">Стандарт качества обслуживания потребителей электрической эн</w:t>
          </w:r>
          <w:r>
            <w:rPr>
              <w:rFonts w:ascii="Liberation Serif" w:hAnsi="Liberation Serif" w:cs="Liberation Serif"/>
              <w:b/>
              <w:bCs/>
              <w:sz w:val="20"/>
            </w:rPr>
            <w:t xml:space="preserve">ергии гарантирующим поставщиком </w:t>
          </w:r>
          <w:r>
            <w:rPr>
              <w:rFonts w:ascii="Liberation Serif" w:hAnsi="Liberation Serif" w:cs="Liberation Serif"/>
              <w:b/>
              <w:bCs/>
              <w:sz w:val="20"/>
              <w:lang w:eastAsia="en-US"/>
            </w:rPr>
            <w:t xml:space="preserve">ПАО «Саратовэнерго»</w:t>
          </w:r>
          <w:r>
            <w:rPr>
              <w:rFonts w:ascii="Liberation Serif" w:hAnsi="Liberation Serif" w:cs="Liberation Serif"/>
              <w:b/>
              <w:bCs/>
              <w:sz w:val="20"/>
            </w:rPr>
          </w:r>
          <w:r>
            <w:rPr>
              <w:rFonts w:ascii="Liberation Serif" w:hAnsi="Liberation Serif" w:cs="Liberation Serif"/>
              <w:b/>
              <w:bCs/>
              <w:sz w:val="20"/>
            </w:rPr>
          </w:r>
        </w:p>
      </w:tc>
    </w:tr>
  </w:tbl>
  <w:p>
    <w:pPr>
      <w:pStyle w:val="1101"/>
      <w:rPr>
        <w:rFonts w:ascii="Liberation Serif" w:hAnsi="Liberation Serif" w:cs="Liberation Serif"/>
      </w:rPr>
    </w:pPr>
    <w:r>
      <w:rPr>
        <w:rFonts w:ascii="Liberation Serif" w:hAnsi="Liberation Serif" w:cs="Liberation Serif"/>
      </w:rPr>
    </w:r>
    <w:r>
      <w:rPr>
        <w:rFonts w:ascii="Liberation Serif" w:hAnsi="Liberation Serif" w:cs="Liberation Serif"/>
      </w:rPr>
    </w:r>
    <w:r>
      <w:rPr>
        <w:rFonts w:ascii="Liberation Serif" w:hAnsi="Liberation Serif" w:cs="Liberation Serif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526" w:type="dxa"/>
      <w:tblInd w:w="-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3227"/>
      <w:gridCol w:w="6299"/>
    </w:tblGrid>
    <w:tr>
      <w:trPr>
        <w:trHeight w:val="230"/>
      </w:trPr>
      <w:tblPrEx/>
      <w:tc>
        <w:tcPr>
          <w:tcW w:w="3227" w:type="dxa"/>
          <w:vMerge w:val="restart"/>
          <w:shd w:val="clear" w:color="auto" w:fill="auto"/>
          <w:noWrap w:val="false"/>
          <w:textDirection w:val="lrTb"/>
          <w:vAlign w:val="center"/>
        </w:tcPr>
        <w:p>
          <w:pPr>
            <w:pStyle w:val="1101"/>
            <w:widowControl w:val="off"/>
            <w:tabs>
              <w:tab w:val="right" w:pos="3011" w:leader="none"/>
              <w:tab w:val="clear" w:pos="9355" w:leader="none"/>
            </w:tabs>
            <w:jc w:val="center"/>
            <w:rPr>
              <w:sz w:val="20"/>
              <w:szCs w:val="20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591310" cy="377825"/>
                    <wp:effectExtent l="0" t="0" r="0" b="0"/>
                    <wp:docPr id="2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82349426" name="Picture 9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591309" cy="37782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125.30pt;height:29.75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6299" w:type="dxa"/>
          <w:vMerge w:val="restart"/>
          <w:shd w:val="clear" w:color="auto" w:fill="auto"/>
          <w:noWrap w:val="false"/>
          <w:textDirection w:val="lrTb"/>
          <w:vAlign w:val="center"/>
        </w:tcPr>
        <w:p>
          <w:pPr>
            <w:pStyle w:val="1188"/>
            <w:jc w:val="both"/>
            <w:rPr>
              <w:rFonts w:ascii="Liberation Serif" w:hAnsi="Liberation Serif" w:cs="Liberation Serif"/>
              <w:b/>
              <w:bCs/>
              <w:sz w:val="20"/>
            </w:rPr>
          </w:pPr>
          <w:r>
            <w:rPr>
              <w:rFonts w:ascii="Liberation Serif" w:hAnsi="Liberation Serif" w:cs="Liberation Serif"/>
              <w:b/>
              <w:sz w:val="20"/>
            </w:rPr>
            <w:t xml:space="preserve">Стандарт качества обслуживания потребителей электрической энергии </w:t>
          </w:r>
          <w:r>
            <w:rPr>
              <w:rFonts w:ascii="Liberation Serif" w:hAnsi="Liberation Serif" w:cs="Liberation Serif"/>
              <w:b/>
              <w:sz w:val="20"/>
            </w:rPr>
            <w:t xml:space="preserve">гарантирующим поставщиком</w:t>
          </w:r>
          <w:r>
            <w:rPr>
              <w:rFonts w:ascii="Liberation Serif" w:hAnsi="Liberation Serif" w:cs="Liberation Serif"/>
              <w:b/>
              <w:sz w:val="20"/>
            </w:rPr>
            <w:t xml:space="preserve"> </w:t>
          </w:r>
          <w:r>
            <w:rPr>
              <w:rFonts w:ascii="Liberation Serif" w:hAnsi="Liberation Serif" w:cs="Liberation Serif"/>
              <w:b/>
              <w:bCs/>
              <w:sz w:val="20"/>
            </w:rPr>
            <w:t xml:space="preserve">ПАО «Саратовэнерго»</w:t>
          </w:r>
          <w:r>
            <w:rPr>
              <w:rFonts w:ascii="Liberation Serif" w:hAnsi="Liberation Serif" w:cs="Liberation Serif"/>
              <w:b/>
              <w:bCs/>
              <w:sz w:val="20"/>
            </w:rPr>
          </w:r>
          <w:r>
            <w:rPr>
              <w:rFonts w:ascii="Liberation Serif" w:hAnsi="Liberation Serif" w:cs="Liberation Serif"/>
              <w:b/>
              <w:bCs/>
              <w:sz w:val="20"/>
            </w:rPr>
          </w:r>
        </w:p>
      </w:tc>
    </w:tr>
  </w:tbl>
  <w:p>
    <w:pPr>
      <w:pStyle w:val="11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pStyle w:val="1166"/>
      <w:isLgl w:val="false"/>
      <w:suff w:val="space"/>
      <w:lvlText w:val="%1."/>
      <w:lvlJc w:val="left"/>
      <w:pPr>
        <w:ind w:left="360" w:firstLine="349"/>
      </w:pPr>
      <w:rPr>
        <w:rFonts w:hint="default"/>
      </w:rPr>
    </w:lvl>
    <w:lvl w:ilvl="1">
      <w:start w:val="1"/>
      <w:numFmt w:val="decimal"/>
      <w:pStyle w:val="1169"/>
      <w:isLgl w:val="false"/>
      <w:suff w:val="space"/>
      <w:lvlText w:val="%1.%2."/>
      <w:lvlJc w:val="left"/>
      <w:pPr>
        <w:ind w:left="792" w:hanging="8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bullet"/>
      <w:pStyle w:val="1152"/>
      <w:isLgl w:val="false"/>
      <w:suff w:val="tab"/>
      <w:lvlText w:val=""/>
      <w:lvlJc w:val="left"/>
      <w:pPr>
        <w:ind w:left="27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pStyle w:val="904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bullet"/>
      <w:pStyle w:val="1170"/>
      <w:isLgl w:val="false"/>
      <w:suff w:val="tab"/>
      <w:lvlText w:val="-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81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907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908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909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910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911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12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pStyle w:val="1176"/>
      <w:isLgl w:val="false"/>
      <w:suff w:val="tab"/>
      <w:lvlText w:val="%1."/>
      <w:lvlJc w:val="left"/>
      <w:pPr>
        <w:tabs>
          <w:tab w:val="num" w:pos="360" w:leader="none"/>
        </w:tabs>
        <w:ind w:left="0" w:firstLine="0"/>
      </w:pPr>
      <w:rPr>
        <w:rFonts w:hint="default" w:ascii="Times New Roman" w:hAnsi="Times New Roman" w:cs="Times New Roman"/>
        <w:b/>
        <w:i w:val="0"/>
        <w:caps/>
        <w:strike w:val="0"/>
        <w:vanish w:val="0"/>
        <w:color w:val="00000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77"/>
      <w:isLgl w:val="false"/>
      <w:suff w:val="tab"/>
      <w:lvlText w:val="%1.%2."/>
      <w:lvlJc w:val="left"/>
      <w:pPr>
        <w:tabs>
          <w:tab w:val="num" w:pos="360" w:leader="none"/>
        </w:tabs>
        <w:ind w:left="0" w:firstLine="0"/>
      </w:pPr>
      <w:rPr>
        <w:rFonts w:hint="default" w:ascii="Times New Roman" w:hAnsi="Times New Roman" w:cs="Times New Roman"/>
        <w:b/>
        <w:i w:val="0"/>
        <w:caps w:val="0"/>
        <w:strike w:val="0"/>
        <w:vanish w:val="0"/>
        <w:color w:val="00000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78"/>
      <w:isLgl w:val="false"/>
      <w:suff w:val="tab"/>
      <w:lvlText w:val="%1.%2.%3."/>
      <w:lvlJc w:val="left"/>
      <w:pPr>
        <w:tabs>
          <w:tab w:val="num" w:pos="720" w:leader="none"/>
        </w:tabs>
        <w:ind w:left="0" w:firstLine="0"/>
      </w:pPr>
      <w:rPr>
        <w:rFonts w:hint="default" w:ascii="Times New Roman" w:hAnsi="Times New Roman" w:cs="Times New Roman"/>
        <w:b/>
        <w:i w:val="0"/>
        <w:caps w:val="0"/>
        <w:strike w:val="0"/>
        <w:vanish w:val="0"/>
        <w:color w:val="00000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1800" w:leader="none"/>
        </w:tabs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2520" w:leader="none"/>
        </w:tabs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2880" w:leader="none"/>
        </w:tabs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3600" w:leader="none"/>
        </w:tabs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3960" w:leader="none"/>
        </w:tabs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4680" w:leader="none"/>
        </w:tabs>
        <w:ind w:left="4320" w:hanging="1440"/>
      </w:pPr>
    </w:lvl>
  </w:abstractNum>
  <w:abstractNum w:abstractNumId="23">
    <w:multiLevelType w:val="hybridMultilevel"/>
    <w:lvl w:ilvl="0">
      <w:start w:val="1"/>
      <w:numFmt w:val="decimal"/>
      <w:pStyle w:val="1073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  <w:b/>
      </w:rPr>
    </w:lvl>
    <w:lvl w:ilvl="1">
      <w:start w:val="1"/>
      <w:numFmt w:val="decimal"/>
      <w:pStyle w:val="1074"/>
      <w:isLgl/>
      <w:suff w:val="tab"/>
      <w:lvlText w:val="%1.%2."/>
      <w:lvlJc w:val="left"/>
      <w:pPr>
        <w:ind w:left="420" w:hanging="420"/>
      </w:pPr>
      <w:rPr>
        <w:rFonts w:hint="default" w:cs="Times New Roman"/>
        <w:b w:val="0"/>
      </w:rPr>
    </w:lvl>
    <w:lvl w:ilvl="2">
      <w:start w:val="1"/>
      <w:numFmt w:val="decimal"/>
      <w:pStyle w:val="1075"/>
      <w:isLgl/>
      <w:suff w:val="tab"/>
      <w:lvlText w:val="%1.%2.%3."/>
      <w:lvlJc w:val="left"/>
      <w:pPr>
        <w:ind w:left="8375" w:hanging="720"/>
      </w:pPr>
      <w:rPr>
        <w:rFonts w:hint="default" w:cs="Times New Roman"/>
        <w:b w:val="0"/>
        <w:i w:val="0"/>
        <w:strike w:val="0"/>
        <w:color w:val="auto"/>
      </w:rPr>
    </w:lvl>
    <w:lvl w:ilvl="3">
      <w:start w:val="1"/>
      <w:numFmt w:val="decimal"/>
      <w:pStyle w:val="1078"/>
      <w:isLgl/>
      <w:suff w:val="tab"/>
      <w:lvlText w:val="%1.%2.%3.%4."/>
      <w:lvlJc w:val="left"/>
      <w:pPr>
        <w:ind w:left="1288" w:hanging="720"/>
      </w:pPr>
      <w:rPr>
        <w:rFonts w:hint="default" w:cs="Times New Roman"/>
        <w:b w:val="0"/>
        <w:i w:val="0"/>
        <w:sz w:val="28"/>
        <w:szCs w:val="28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 w:cs="Times New Roman"/>
        <w:i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931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316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82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08" w:hanging="1800"/>
      </w:pPr>
      <w:rPr>
        <w:rFonts w:hint="default" w:cs="Times New Roman"/>
      </w:rPr>
    </w:lvl>
  </w:abstractNum>
  <w:abstractNum w:abstractNumId="24">
    <w:multiLevelType w:val="hybridMultilevel"/>
    <w:lvl w:ilvl="0">
      <w:start w:val="1"/>
      <w:numFmt w:val="decimal"/>
      <w:pStyle w:val="1144"/>
      <w:isLgl w:val="false"/>
      <w:suff w:val="tab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pStyle w:val="905"/>
      <w:isLgl/>
      <w:suff w:val="tab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pStyle w:val="906"/>
      <w:isLgl/>
      <w:suff w:val="tab"/>
      <w:lvlText w:val="%1.%2.%3."/>
      <w:lvlJc w:val="left"/>
      <w:pPr>
        <w:ind w:left="1789" w:hanging="720"/>
      </w:pPr>
      <w:rPr>
        <w:rFonts w:hint="default" w:ascii="Liberation Serif" w:hAnsi="Liberation Serif" w:cs="Liberation Serif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isLgl/>
      <w:suff w:val="tab"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6">
    <w:multiLevelType w:val="hybridMultilevel"/>
    <w:lvl w:ilvl="0">
      <w:start w:val="1"/>
      <w:numFmt w:val="bullet"/>
      <w:pStyle w:val="1164"/>
      <w:isLgl w:val="false"/>
      <w:suff w:val="tab"/>
      <w:lvlText w:val=""/>
      <w:lvlJc w:val="left"/>
      <w:pPr>
        <w:tabs>
          <w:tab w:val="num" w:pos="926" w:leader="none"/>
        </w:tabs>
        <w:ind w:left="92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bullet"/>
      <w:pStyle w:val="1183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z w:val="28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pStyle w:val="1111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1113"/>
      <w:isLgl/>
      <w:suff w:val="tab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713" w:hanging="720"/>
      </w:pPr>
      <w:rPr>
        <w:rFonts w:hint="default"/>
        <w:b w:val="0"/>
        <w:strike w:val="0"/>
      </w:rPr>
    </w:lvl>
    <w:lvl w:ilvl="3">
      <w:start w:val="1"/>
      <w:numFmt w:val="decimal"/>
      <w:isLgl/>
      <w:suff w:val="tab"/>
      <w:lvlText w:val="%1.%2.%3.%4."/>
      <w:lvlJc w:val="left"/>
      <w:pPr>
        <w:ind w:left="1648" w:hanging="1080"/>
      </w:pPr>
      <w:rPr>
        <w:rFonts w:hint="default"/>
        <w:strike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3"/>
  </w:num>
  <w:num w:numId="2">
    <w:abstractNumId w:val="33"/>
  </w:num>
  <w:num w:numId="3">
    <w:abstractNumId w:val="4"/>
  </w:num>
  <w:num w:numId="4">
    <w:abstractNumId w:val="11"/>
  </w:num>
  <w:num w:numId="5">
    <w:abstractNumId w:val="26"/>
  </w:num>
  <w:num w:numId="6">
    <w:abstractNumId w:val="14"/>
  </w:num>
  <w:num w:numId="7">
    <w:abstractNumId w:val="19"/>
  </w:num>
  <w:num w:numId="8">
    <w:abstractNumId w:val="9"/>
  </w:num>
  <w:num w:numId="9">
    <w:abstractNumId w:val="16"/>
  </w:num>
  <w:num w:numId="10">
    <w:abstractNumId w:val="22"/>
  </w:num>
  <w:num w:numId="11">
    <w:abstractNumId w:val="27"/>
  </w:num>
  <w:num w:numId="12">
    <w:abstractNumId w:val="17"/>
  </w:num>
  <w:num w:numId="13">
    <w:abstractNumId w:val="6"/>
  </w:num>
  <w:num w:numId="14">
    <w:abstractNumId w:val="25"/>
  </w:num>
  <w:num w:numId="15">
    <w:abstractNumId w:val="28"/>
  </w:num>
  <w:num w:numId="16">
    <w:abstractNumId w:val="32"/>
  </w:num>
  <w:num w:numId="17">
    <w:abstractNumId w:val="24"/>
  </w:num>
  <w:num w:numId="18">
    <w:abstractNumId w:val="8"/>
  </w:num>
  <w:num w:numId="19">
    <w:abstractNumId w:val="21"/>
  </w:num>
  <w:num w:numId="20">
    <w:abstractNumId w:val="24"/>
  </w:num>
  <w:num w:numId="21">
    <w:abstractNumId w:val="7"/>
  </w:num>
  <w:num w:numId="22">
    <w:abstractNumId w:val="24"/>
  </w:num>
  <w:num w:numId="23">
    <w:abstractNumId w:val="13"/>
  </w:num>
  <w:num w:numId="24">
    <w:abstractNumId w:val="20"/>
  </w:num>
  <w:num w:numId="25">
    <w:abstractNumId w:val="29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1"/>
  </w:num>
  <w:num w:numId="31">
    <w:abstractNumId w:val="12"/>
  </w:num>
  <w:num w:numId="32">
    <w:abstractNumId w:val="31"/>
  </w:num>
  <w:num w:numId="33">
    <w:abstractNumId w:val="5"/>
  </w:num>
  <w:num w:numId="34">
    <w:abstractNumId w:val="30"/>
  </w:num>
  <w:num w:numId="35">
    <w:abstractNumId w:val="0"/>
  </w:num>
  <w:num w:numId="36">
    <w:abstractNumId w:val="3"/>
  </w:num>
  <w:num w:numId="37">
    <w:abstractNumId w:val="2"/>
  </w:num>
  <w:num w:numId="38">
    <w:abstractNumId w:val="18"/>
  </w:num>
  <w:num w:numId="39">
    <w:abstractNumId w:val="1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9">
    <w:name w:val="Subtitle Char"/>
    <w:basedOn w:val="913"/>
    <w:link w:val="927"/>
    <w:uiPriority w:val="11"/>
    <w:rPr>
      <w:sz w:val="24"/>
      <w:szCs w:val="24"/>
    </w:rPr>
  </w:style>
  <w:style w:type="character" w:styleId="900">
    <w:name w:val="Quote Char"/>
    <w:link w:val="929"/>
    <w:uiPriority w:val="29"/>
    <w:rPr>
      <w:i/>
    </w:rPr>
  </w:style>
  <w:style w:type="character" w:styleId="901">
    <w:name w:val="Intense Quote Char"/>
    <w:link w:val="931"/>
    <w:uiPriority w:val="30"/>
    <w:rPr>
      <w:i/>
    </w:rPr>
  </w:style>
  <w:style w:type="character" w:styleId="902">
    <w:name w:val="Endnote Text Char"/>
    <w:link w:val="1063"/>
    <w:uiPriority w:val="99"/>
    <w:rPr>
      <w:sz w:val="20"/>
    </w:rPr>
  </w:style>
  <w:style w:type="paragraph" w:styleId="903" w:default="1">
    <w:name w:val="Normal"/>
    <w:qFormat/>
    <w:rPr>
      <w:sz w:val="24"/>
      <w:szCs w:val="24"/>
    </w:rPr>
  </w:style>
  <w:style w:type="paragraph" w:styleId="904">
    <w:name w:val="Heading 1"/>
    <w:basedOn w:val="903"/>
    <w:next w:val="903"/>
    <w:link w:val="1124"/>
    <w:uiPriority w:val="9"/>
    <w:qFormat/>
    <w:pPr>
      <w:keepNext/>
      <w:numPr>
        <w:numId w:val="6"/>
        <w:ilvl w:val="0"/>
      </w:numPr>
      <w:tabs>
        <w:tab w:val="left" w:pos="1134" w:leader="none"/>
      </w:tabs>
      <w:spacing w:before="240" w:after="60"/>
      <w:jc w:val="both"/>
      <w:outlineLvl w:val="0"/>
    </w:pPr>
    <w:rPr>
      <w:b/>
      <w:bCs/>
      <w:sz w:val="28"/>
      <w:szCs w:val="28"/>
    </w:rPr>
  </w:style>
  <w:style w:type="paragraph" w:styleId="905">
    <w:name w:val="Heading 2"/>
    <w:basedOn w:val="1103"/>
    <w:next w:val="903"/>
    <w:link w:val="1106"/>
    <w:unhideWhenUsed/>
    <w:qFormat/>
    <w:pPr>
      <w:numPr>
        <w:numId w:val="17"/>
        <w:ilvl w:val="1"/>
      </w:numPr>
      <w:tabs>
        <w:tab w:val="left" w:pos="1276" w:leader="none"/>
      </w:tabs>
      <w:spacing w:before="120" w:after="60"/>
      <w:ind w:left="0" w:firstLine="709"/>
      <w:outlineLvl w:val="1"/>
    </w:pPr>
    <w:rPr>
      <w:b/>
    </w:rPr>
  </w:style>
  <w:style w:type="paragraph" w:styleId="906">
    <w:name w:val="Heading 3"/>
    <w:basedOn w:val="905"/>
    <w:next w:val="903"/>
    <w:link w:val="1123"/>
    <w:qFormat/>
    <w:pPr>
      <w:numPr>
        <w:ilvl w:val="2"/>
      </w:numPr>
      <w:ind w:left="0" w:firstLine="709"/>
      <w:outlineLvl w:val="2"/>
    </w:pPr>
    <w:rPr>
      <w:b w:val="0"/>
    </w:rPr>
  </w:style>
  <w:style w:type="paragraph" w:styleId="907">
    <w:name w:val="Heading 4"/>
    <w:basedOn w:val="903"/>
    <w:next w:val="903"/>
    <w:link w:val="1146"/>
    <w:semiHidden/>
    <w:unhideWhenUsed/>
    <w:qFormat/>
    <w:pPr>
      <w:keepNext/>
      <w:keepLines/>
      <w:numPr>
        <w:numId w:val="7"/>
        <w:ilvl w:val="3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908">
    <w:name w:val="Heading 5"/>
    <w:basedOn w:val="903"/>
    <w:next w:val="903"/>
    <w:link w:val="1147"/>
    <w:semiHidden/>
    <w:unhideWhenUsed/>
    <w:qFormat/>
    <w:pPr>
      <w:keepNext/>
      <w:keepLines/>
      <w:numPr>
        <w:numId w:val="7"/>
        <w:ilvl w:val="4"/>
      </w:numPr>
      <w:spacing w:before="40"/>
      <w:outlineLvl w:val="4"/>
    </w:pPr>
    <w:rPr>
      <w:rFonts w:ascii="Cambria" w:hAnsi="Cambria"/>
      <w:color w:val="365f91"/>
    </w:rPr>
  </w:style>
  <w:style w:type="paragraph" w:styleId="909">
    <w:name w:val="Heading 6"/>
    <w:basedOn w:val="903"/>
    <w:next w:val="903"/>
    <w:link w:val="1148"/>
    <w:semiHidden/>
    <w:unhideWhenUsed/>
    <w:qFormat/>
    <w:pPr>
      <w:keepNext/>
      <w:keepLines/>
      <w:numPr>
        <w:numId w:val="7"/>
        <w:ilvl w:val="5"/>
      </w:numPr>
      <w:spacing w:before="40"/>
      <w:outlineLvl w:val="5"/>
    </w:pPr>
    <w:rPr>
      <w:rFonts w:ascii="Cambria" w:hAnsi="Cambria"/>
      <w:color w:val="243f60"/>
    </w:rPr>
  </w:style>
  <w:style w:type="paragraph" w:styleId="910">
    <w:name w:val="Heading 7"/>
    <w:basedOn w:val="903"/>
    <w:next w:val="903"/>
    <w:link w:val="1149"/>
    <w:semiHidden/>
    <w:unhideWhenUsed/>
    <w:qFormat/>
    <w:pPr>
      <w:keepNext/>
      <w:keepLines/>
      <w:numPr>
        <w:numId w:val="7"/>
        <w:ilvl w:val="6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911">
    <w:name w:val="Heading 8"/>
    <w:basedOn w:val="903"/>
    <w:next w:val="903"/>
    <w:link w:val="1150"/>
    <w:semiHidden/>
    <w:unhideWhenUsed/>
    <w:qFormat/>
    <w:pPr>
      <w:keepNext/>
      <w:keepLines/>
      <w:numPr>
        <w:numId w:val="7"/>
        <w:ilvl w:val="7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912">
    <w:name w:val="Heading 9"/>
    <w:basedOn w:val="903"/>
    <w:next w:val="903"/>
    <w:link w:val="1151"/>
    <w:semiHidden/>
    <w:unhideWhenUsed/>
    <w:qFormat/>
    <w:pPr>
      <w:keepNext/>
      <w:keepLines/>
      <w:numPr>
        <w:numId w:val="7"/>
        <w:ilvl w:val="8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character" w:styleId="916" w:customStyle="1">
    <w:name w:val="Heading 1 Char"/>
    <w:basedOn w:val="913"/>
    <w:uiPriority w:val="9"/>
    <w:rPr>
      <w:rFonts w:ascii="Arial" w:hAnsi="Arial" w:eastAsia="Arial" w:cs="Arial"/>
      <w:sz w:val="40"/>
      <w:szCs w:val="40"/>
    </w:rPr>
  </w:style>
  <w:style w:type="character" w:styleId="917" w:customStyle="1">
    <w:name w:val="Heading 2 Char"/>
    <w:basedOn w:val="913"/>
    <w:uiPriority w:val="9"/>
    <w:rPr>
      <w:rFonts w:ascii="Arial" w:hAnsi="Arial" w:eastAsia="Arial" w:cs="Arial"/>
      <w:sz w:val="34"/>
    </w:rPr>
  </w:style>
  <w:style w:type="character" w:styleId="918" w:customStyle="1">
    <w:name w:val="Heading 3 Char"/>
    <w:basedOn w:val="913"/>
    <w:uiPriority w:val="9"/>
    <w:rPr>
      <w:rFonts w:ascii="Arial" w:hAnsi="Arial" w:eastAsia="Arial" w:cs="Arial"/>
      <w:sz w:val="30"/>
      <w:szCs w:val="30"/>
    </w:rPr>
  </w:style>
  <w:style w:type="character" w:styleId="919" w:customStyle="1">
    <w:name w:val="Heading 4 Char"/>
    <w:basedOn w:val="913"/>
    <w:uiPriority w:val="9"/>
    <w:rPr>
      <w:rFonts w:ascii="Arial" w:hAnsi="Arial" w:eastAsia="Arial" w:cs="Arial"/>
      <w:b/>
      <w:bCs/>
      <w:sz w:val="26"/>
      <w:szCs w:val="26"/>
    </w:rPr>
  </w:style>
  <w:style w:type="character" w:styleId="920" w:customStyle="1">
    <w:name w:val="Heading 5 Char"/>
    <w:basedOn w:val="913"/>
    <w:uiPriority w:val="9"/>
    <w:rPr>
      <w:rFonts w:ascii="Arial" w:hAnsi="Arial" w:eastAsia="Arial" w:cs="Arial"/>
      <w:b/>
      <w:bCs/>
      <w:sz w:val="24"/>
      <w:szCs w:val="24"/>
    </w:rPr>
  </w:style>
  <w:style w:type="character" w:styleId="921" w:customStyle="1">
    <w:name w:val="Heading 6 Char"/>
    <w:basedOn w:val="913"/>
    <w:uiPriority w:val="9"/>
    <w:rPr>
      <w:rFonts w:ascii="Arial" w:hAnsi="Arial" w:eastAsia="Arial" w:cs="Arial"/>
      <w:b/>
      <w:bCs/>
      <w:sz w:val="22"/>
      <w:szCs w:val="22"/>
    </w:rPr>
  </w:style>
  <w:style w:type="character" w:styleId="922" w:customStyle="1">
    <w:name w:val="Heading 7 Char"/>
    <w:basedOn w:val="9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23" w:customStyle="1">
    <w:name w:val="Heading 8 Char"/>
    <w:basedOn w:val="913"/>
    <w:uiPriority w:val="9"/>
    <w:rPr>
      <w:rFonts w:ascii="Arial" w:hAnsi="Arial" w:eastAsia="Arial" w:cs="Arial"/>
      <w:i/>
      <w:iCs/>
      <w:sz w:val="22"/>
      <w:szCs w:val="22"/>
    </w:rPr>
  </w:style>
  <w:style w:type="character" w:styleId="924" w:customStyle="1">
    <w:name w:val="Heading 9 Char"/>
    <w:basedOn w:val="913"/>
    <w:uiPriority w:val="9"/>
    <w:rPr>
      <w:rFonts w:ascii="Arial" w:hAnsi="Arial" w:eastAsia="Arial" w:cs="Arial"/>
      <w:i/>
      <w:iCs/>
      <w:sz w:val="21"/>
      <w:szCs w:val="21"/>
    </w:rPr>
  </w:style>
  <w:style w:type="paragraph" w:styleId="925">
    <w:name w:val="No Spacing"/>
    <w:uiPriority w:val="1"/>
    <w:qFormat/>
  </w:style>
  <w:style w:type="character" w:styleId="926" w:customStyle="1">
    <w:name w:val="Title Char"/>
    <w:basedOn w:val="913"/>
    <w:uiPriority w:val="10"/>
    <w:rPr>
      <w:sz w:val="48"/>
      <w:szCs w:val="48"/>
    </w:rPr>
  </w:style>
  <w:style w:type="paragraph" w:styleId="927">
    <w:name w:val="Subtitle"/>
    <w:basedOn w:val="903"/>
    <w:next w:val="903"/>
    <w:link w:val="928"/>
    <w:uiPriority w:val="11"/>
    <w:qFormat/>
    <w:pPr>
      <w:spacing w:before="200" w:after="200"/>
    </w:pPr>
  </w:style>
  <w:style w:type="character" w:styleId="928" w:customStyle="1">
    <w:name w:val="Подзаголовок Знак"/>
    <w:basedOn w:val="913"/>
    <w:link w:val="927"/>
    <w:uiPriority w:val="11"/>
    <w:rPr>
      <w:sz w:val="24"/>
      <w:szCs w:val="24"/>
    </w:rPr>
  </w:style>
  <w:style w:type="paragraph" w:styleId="929">
    <w:name w:val="Quote"/>
    <w:basedOn w:val="903"/>
    <w:next w:val="903"/>
    <w:link w:val="930"/>
    <w:uiPriority w:val="29"/>
    <w:qFormat/>
    <w:pPr>
      <w:ind w:left="720" w:right="720"/>
    </w:pPr>
    <w:rPr>
      <w:i/>
    </w:rPr>
  </w:style>
  <w:style w:type="character" w:styleId="930" w:customStyle="1">
    <w:name w:val="Цитата 2 Знак"/>
    <w:link w:val="929"/>
    <w:uiPriority w:val="29"/>
    <w:rPr>
      <w:i/>
    </w:rPr>
  </w:style>
  <w:style w:type="paragraph" w:styleId="931">
    <w:name w:val="Intense Quote"/>
    <w:basedOn w:val="903"/>
    <w:next w:val="903"/>
    <w:link w:val="93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932" w:customStyle="1">
    <w:name w:val="Выделенная цитата Знак"/>
    <w:link w:val="931"/>
    <w:uiPriority w:val="30"/>
    <w:rPr>
      <w:i/>
    </w:rPr>
  </w:style>
  <w:style w:type="character" w:styleId="933" w:customStyle="1">
    <w:name w:val="Header Char"/>
    <w:basedOn w:val="913"/>
    <w:uiPriority w:val="99"/>
  </w:style>
  <w:style w:type="character" w:styleId="934" w:customStyle="1">
    <w:name w:val="Footer Char"/>
    <w:basedOn w:val="913"/>
    <w:uiPriority w:val="99"/>
  </w:style>
  <w:style w:type="paragraph" w:styleId="935">
    <w:name w:val="Caption"/>
    <w:basedOn w:val="903"/>
    <w:next w:val="90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936" w:customStyle="1">
    <w:name w:val="Caption Char"/>
    <w:uiPriority w:val="99"/>
  </w:style>
  <w:style w:type="table" w:styleId="937" w:customStyle="1">
    <w:name w:val="Table Grid Light"/>
    <w:basedOn w:val="91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38">
    <w:name w:val="Plain Table 1"/>
    <w:basedOn w:val="91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39">
    <w:name w:val="Plain Table 2"/>
    <w:basedOn w:val="91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0">
    <w:name w:val="Plain Table 3"/>
    <w:basedOn w:val="91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41">
    <w:name w:val="Plain Table 4"/>
    <w:basedOn w:val="91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Plain Table 5"/>
    <w:basedOn w:val="91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43">
    <w:name w:val="Grid Table 1 Light"/>
    <w:basedOn w:val="91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Grid Table 1 Light - Accent 1"/>
    <w:basedOn w:val="91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Grid Table 1 Light - Accent 2"/>
    <w:basedOn w:val="91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Grid Table 1 Light - Accent 3"/>
    <w:basedOn w:val="91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Grid Table 1 Light - Accent 4"/>
    <w:basedOn w:val="91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Grid Table 1 Light - Accent 5"/>
    <w:basedOn w:val="91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Grid Table 1 Light - Accent 6"/>
    <w:basedOn w:val="91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Grid Table 2"/>
    <w:basedOn w:val="91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1" w:customStyle="1">
    <w:name w:val="Grid Table 2 - Accent 1"/>
    <w:basedOn w:val="91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2" w:customStyle="1">
    <w:name w:val="Grid Table 2 - Accent 2"/>
    <w:basedOn w:val="91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3" w:customStyle="1">
    <w:name w:val="Grid Table 2 - Accent 3"/>
    <w:basedOn w:val="91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4" w:customStyle="1">
    <w:name w:val="Grid Table 2 - Accent 4"/>
    <w:basedOn w:val="91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5" w:customStyle="1">
    <w:name w:val="Grid Table 2 - Accent 5"/>
    <w:basedOn w:val="91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6" w:customStyle="1">
    <w:name w:val="Grid Table 2 - Accent 6"/>
    <w:basedOn w:val="91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7">
    <w:name w:val="Grid Table 3"/>
    <w:basedOn w:val="91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8" w:customStyle="1">
    <w:name w:val="Grid Table 3 - Accent 1"/>
    <w:basedOn w:val="91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9" w:customStyle="1">
    <w:name w:val="Grid Table 3 - Accent 2"/>
    <w:basedOn w:val="91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60" w:customStyle="1">
    <w:name w:val="Grid Table 3 - Accent 3"/>
    <w:basedOn w:val="91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61" w:customStyle="1">
    <w:name w:val="Grid Table 3 - Accent 4"/>
    <w:basedOn w:val="91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62" w:customStyle="1">
    <w:name w:val="Grid Table 3 - Accent 5"/>
    <w:basedOn w:val="91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63" w:customStyle="1">
    <w:name w:val="Grid Table 3 - Accent 6"/>
    <w:basedOn w:val="91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64">
    <w:name w:val="Grid Table 4"/>
    <w:basedOn w:val="91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65" w:customStyle="1">
    <w:name w:val="Grid Table 4 - Accent 1"/>
    <w:basedOn w:val="914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966" w:customStyle="1">
    <w:name w:val="Grid Table 4 - Accent 2"/>
    <w:basedOn w:val="91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67" w:customStyle="1">
    <w:name w:val="Grid Table 4 - Accent 3"/>
    <w:basedOn w:val="91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68" w:customStyle="1">
    <w:name w:val="Grid Table 4 - Accent 4"/>
    <w:basedOn w:val="91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69" w:customStyle="1">
    <w:name w:val="Grid Table 4 - Accent 5"/>
    <w:basedOn w:val="914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970" w:customStyle="1">
    <w:name w:val="Grid Table 4 - Accent 6"/>
    <w:basedOn w:val="91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71">
    <w:name w:val="Grid Table 5 Dark"/>
    <w:basedOn w:val="9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972" w:customStyle="1">
    <w:name w:val="Grid Table 5 Dark- Accent 1"/>
    <w:basedOn w:val="9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973" w:customStyle="1">
    <w:name w:val="Grid Table 5 Dark - Accent 2"/>
    <w:basedOn w:val="9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974" w:customStyle="1">
    <w:name w:val="Grid Table 5 Dark - Accent 3"/>
    <w:basedOn w:val="9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975" w:customStyle="1">
    <w:name w:val="Grid Table 5 Dark- Accent 4"/>
    <w:basedOn w:val="9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976" w:customStyle="1">
    <w:name w:val="Grid Table 5 Dark - Accent 5"/>
    <w:basedOn w:val="9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977" w:customStyle="1">
    <w:name w:val="Grid Table 5 Dark - Accent 6"/>
    <w:basedOn w:val="9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978">
    <w:name w:val="Grid Table 6 Colorful"/>
    <w:basedOn w:val="91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79" w:customStyle="1">
    <w:name w:val="Grid Table 6 Colorful - Accent 1"/>
    <w:basedOn w:val="914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80" w:customStyle="1">
    <w:name w:val="Grid Table 6 Colorful - Accent 2"/>
    <w:basedOn w:val="91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81" w:customStyle="1">
    <w:name w:val="Grid Table 6 Colorful - Accent 3"/>
    <w:basedOn w:val="91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82" w:customStyle="1">
    <w:name w:val="Grid Table 6 Colorful - Accent 4"/>
    <w:basedOn w:val="91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83" w:customStyle="1">
    <w:name w:val="Grid Table 6 Colorful - Accent 5"/>
    <w:basedOn w:val="914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84" w:customStyle="1">
    <w:name w:val="Grid Table 6 Colorful - Accent 6"/>
    <w:basedOn w:val="91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85">
    <w:name w:val="Grid Table 7 Colorful"/>
    <w:basedOn w:val="91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86" w:customStyle="1">
    <w:name w:val="Grid Table 7 Colorful - Accent 1"/>
    <w:basedOn w:val="914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87" w:customStyle="1">
    <w:name w:val="Grid Table 7 Colorful - Accent 2"/>
    <w:basedOn w:val="91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88" w:customStyle="1">
    <w:name w:val="Grid Table 7 Colorful - Accent 3"/>
    <w:basedOn w:val="91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89" w:customStyle="1">
    <w:name w:val="Grid Table 7 Colorful - Accent 4"/>
    <w:basedOn w:val="91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90" w:customStyle="1">
    <w:name w:val="Grid Table 7 Colorful - Accent 5"/>
    <w:basedOn w:val="914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91" w:customStyle="1">
    <w:name w:val="Grid Table 7 Colorful - Accent 6"/>
    <w:basedOn w:val="91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92">
    <w:name w:val="List Table 1 Light"/>
    <w:basedOn w:val="91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1 Light - Accent 1"/>
    <w:basedOn w:val="914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1 Light - Accent 2"/>
    <w:basedOn w:val="91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1 Light - Accent 3"/>
    <w:basedOn w:val="91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1 Light - Accent 4"/>
    <w:basedOn w:val="91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1 Light - Accent 5"/>
    <w:basedOn w:val="914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1 Light - Accent 6"/>
    <w:basedOn w:val="91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>
    <w:name w:val="List Table 2"/>
    <w:basedOn w:val="91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00" w:customStyle="1">
    <w:name w:val="List Table 2 - Accent 1"/>
    <w:basedOn w:val="914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01" w:customStyle="1">
    <w:name w:val="List Table 2 - Accent 2"/>
    <w:basedOn w:val="91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02" w:customStyle="1">
    <w:name w:val="List Table 2 - Accent 3"/>
    <w:basedOn w:val="91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03" w:customStyle="1">
    <w:name w:val="List Table 2 - Accent 4"/>
    <w:basedOn w:val="91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04" w:customStyle="1">
    <w:name w:val="List Table 2 - Accent 5"/>
    <w:basedOn w:val="914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05" w:customStyle="1">
    <w:name w:val="List Table 2 - Accent 6"/>
    <w:basedOn w:val="91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06">
    <w:name w:val="List Table 3"/>
    <w:basedOn w:val="91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 w:customStyle="1">
    <w:name w:val="List Table 3 - Accent 1"/>
    <w:basedOn w:val="914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8" w:customStyle="1">
    <w:name w:val="List Table 3 - Accent 2"/>
    <w:basedOn w:val="91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9" w:customStyle="1">
    <w:name w:val="List Table 3 - Accent 3"/>
    <w:basedOn w:val="91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0" w:customStyle="1">
    <w:name w:val="List Table 3 - Accent 4"/>
    <w:basedOn w:val="91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1" w:customStyle="1">
    <w:name w:val="List Table 3 - Accent 5"/>
    <w:basedOn w:val="914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2" w:customStyle="1">
    <w:name w:val="List Table 3 - Accent 6"/>
    <w:basedOn w:val="91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3">
    <w:name w:val="List Table 4"/>
    <w:basedOn w:val="91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4" w:customStyle="1">
    <w:name w:val="List Table 4 - Accent 1"/>
    <w:basedOn w:val="914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 w:customStyle="1">
    <w:name w:val="List Table 4 - Accent 2"/>
    <w:basedOn w:val="91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 w:customStyle="1">
    <w:name w:val="List Table 4 - Accent 3"/>
    <w:basedOn w:val="91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List Table 4 - Accent 4"/>
    <w:basedOn w:val="91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 w:customStyle="1">
    <w:name w:val="List Table 4 - Accent 5"/>
    <w:basedOn w:val="914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List Table 4 - Accent 6"/>
    <w:basedOn w:val="91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>
    <w:name w:val="List Table 5 Dark"/>
    <w:basedOn w:val="91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1" w:customStyle="1">
    <w:name w:val="List Table 5 Dark - Accent 1"/>
    <w:basedOn w:val="914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2" w:customStyle="1">
    <w:name w:val="List Table 5 Dark - Accent 2"/>
    <w:basedOn w:val="91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3" w:customStyle="1">
    <w:name w:val="List Table 5 Dark - Accent 3"/>
    <w:basedOn w:val="91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4" w:customStyle="1">
    <w:name w:val="List Table 5 Dark - Accent 4"/>
    <w:basedOn w:val="91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5" w:customStyle="1">
    <w:name w:val="List Table 5 Dark - Accent 5"/>
    <w:basedOn w:val="914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6" w:customStyle="1">
    <w:name w:val="List Table 5 Dark - Accent 6"/>
    <w:basedOn w:val="91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7">
    <w:name w:val="List Table 6 Colorful"/>
    <w:basedOn w:val="91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28" w:customStyle="1">
    <w:name w:val="List Table 6 Colorful - Accent 1"/>
    <w:basedOn w:val="914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029" w:customStyle="1">
    <w:name w:val="List Table 6 Colorful - Accent 2"/>
    <w:basedOn w:val="91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030" w:customStyle="1">
    <w:name w:val="List Table 6 Colorful - Accent 3"/>
    <w:basedOn w:val="91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031" w:customStyle="1">
    <w:name w:val="List Table 6 Colorful - Accent 4"/>
    <w:basedOn w:val="91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032" w:customStyle="1">
    <w:name w:val="List Table 6 Colorful - Accent 5"/>
    <w:basedOn w:val="914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033" w:customStyle="1">
    <w:name w:val="List Table 6 Colorful - Accent 6"/>
    <w:basedOn w:val="91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034">
    <w:name w:val="List Table 7 Colorful"/>
    <w:basedOn w:val="91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035" w:customStyle="1">
    <w:name w:val="List Table 7 Colorful - Accent 1"/>
    <w:basedOn w:val="914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036" w:customStyle="1">
    <w:name w:val="List Table 7 Colorful - Accent 2"/>
    <w:basedOn w:val="91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037" w:customStyle="1">
    <w:name w:val="List Table 7 Colorful - Accent 3"/>
    <w:basedOn w:val="91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038" w:customStyle="1">
    <w:name w:val="List Table 7 Colorful - Accent 4"/>
    <w:basedOn w:val="91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039" w:customStyle="1">
    <w:name w:val="List Table 7 Colorful - Accent 5"/>
    <w:basedOn w:val="914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040" w:customStyle="1">
    <w:name w:val="List Table 7 Colorful - Accent 6"/>
    <w:basedOn w:val="91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041" w:customStyle="1">
    <w:name w:val="Lined - Accent"/>
    <w:basedOn w:val="91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42" w:customStyle="1">
    <w:name w:val="Lined - Accent 1"/>
    <w:basedOn w:val="91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043" w:customStyle="1">
    <w:name w:val="Lined - Accent 2"/>
    <w:basedOn w:val="91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44" w:customStyle="1">
    <w:name w:val="Lined - Accent 3"/>
    <w:basedOn w:val="91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45" w:customStyle="1">
    <w:name w:val="Lined - Accent 4"/>
    <w:basedOn w:val="91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46" w:customStyle="1">
    <w:name w:val="Lined - Accent 5"/>
    <w:basedOn w:val="91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047" w:customStyle="1">
    <w:name w:val="Lined - Accent 6"/>
    <w:basedOn w:val="91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48" w:customStyle="1">
    <w:name w:val="Bordered &amp; Lined - Accent"/>
    <w:basedOn w:val="91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49" w:customStyle="1">
    <w:name w:val="Bordered &amp; Lined - Accent 1"/>
    <w:basedOn w:val="914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050" w:customStyle="1">
    <w:name w:val="Bordered &amp; Lined - Accent 2"/>
    <w:basedOn w:val="914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51" w:customStyle="1">
    <w:name w:val="Bordered &amp; Lined - Accent 3"/>
    <w:basedOn w:val="914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52" w:customStyle="1">
    <w:name w:val="Bordered &amp; Lined - Accent 4"/>
    <w:basedOn w:val="914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53" w:customStyle="1">
    <w:name w:val="Bordered &amp; Lined - Accent 5"/>
    <w:basedOn w:val="914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054" w:customStyle="1">
    <w:name w:val="Bordered &amp; Lined - Accent 6"/>
    <w:basedOn w:val="914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55" w:customStyle="1">
    <w:name w:val="Bordered"/>
    <w:basedOn w:val="91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56" w:customStyle="1">
    <w:name w:val="Bordered - Accent 1"/>
    <w:basedOn w:val="91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057" w:customStyle="1">
    <w:name w:val="Bordered - Accent 2"/>
    <w:basedOn w:val="91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058" w:customStyle="1">
    <w:name w:val="Bordered - Accent 3"/>
    <w:basedOn w:val="91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59" w:customStyle="1">
    <w:name w:val="Bordered - Accent 4"/>
    <w:basedOn w:val="91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060" w:customStyle="1">
    <w:name w:val="Bordered - Accent 5"/>
    <w:basedOn w:val="91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061" w:customStyle="1">
    <w:name w:val="Bordered - Accent 6"/>
    <w:basedOn w:val="91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062" w:customStyle="1">
    <w:name w:val="Footnote Text Char"/>
    <w:uiPriority w:val="99"/>
    <w:rPr>
      <w:sz w:val="18"/>
    </w:rPr>
  </w:style>
  <w:style w:type="paragraph" w:styleId="1063">
    <w:name w:val="endnote text"/>
    <w:basedOn w:val="903"/>
    <w:link w:val="1064"/>
    <w:uiPriority w:val="99"/>
    <w:semiHidden/>
    <w:unhideWhenUsed/>
    <w:rPr>
      <w:sz w:val="20"/>
    </w:rPr>
  </w:style>
  <w:style w:type="character" w:styleId="1064" w:customStyle="1">
    <w:name w:val="Текст концевой сноски Знак"/>
    <w:link w:val="1063"/>
    <w:uiPriority w:val="99"/>
    <w:rPr>
      <w:sz w:val="20"/>
    </w:rPr>
  </w:style>
  <w:style w:type="character" w:styleId="1065">
    <w:name w:val="endnote reference"/>
    <w:basedOn w:val="913"/>
    <w:uiPriority w:val="99"/>
    <w:semiHidden/>
    <w:unhideWhenUsed/>
    <w:rPr>
      <w:vertAlign w:val="superscript"/>
    </w:rPr>
  </w:style>
  <w:style w:type="paragraph" w:styleId="1066">
    <w:name w:val="toc 4"/>
    <w:basedOn w:val="903"/>
    <w:next w:val="903"/>
    <w:uiPriority w:val="39"/>
    <w:unhideWhenUsed/>
    <w:pPr>
      <w:spacing w:after="57"/>
      <w:ind w:left="850"/>
    </w:pPr>
  </w:style>
  <w:style w:type="paragraph" w:styleId="1067">
    <w:name w:val="toc 5"/>
    <w:basedOn w:val="903"/>
    <w:next w:val="903"/>
    <w:uiPriority w:val="39"/>
    <w:unhideWhenUsed/>
    <w:pPr>
      <w:spacing w:after="57"/>
      <w:ind w:left="1134"/>
    </w:pPr>
  </w:style>
  <w:style w:type="paragraph" w:styleId="1068">
    <w:name w:val="toc 6"/>
    <w:basedOn w:val="903"/>
    <w:next w:val="903"/>
    <w:uiPriority w:val="39"/>
    <w:unhideWhenUsed/>
    <w:pPr>
      <w:spacing w:after="57"/>
      <w:ind w:left="1417"/>
    </w:pPr>
  </w:style>
  <w:style w:type="paragraph" w:styleId="1069">
    <w:name w:val="toc 7"/>
    <w:basedOn w:val="903"/>
    <w:next w:val="903"/>
    <w:uiPriority w:val="39"/>
    <w:unhideWhenUsed/>
    <w:pPr>
      <w:spacing w:after="57"/>
      <w:ind w:left="1701"/>
    </w:pPr>
  </w:style>
  <w:style w:type="paragraph" w:styleId="1070">
    <w:name w:val="toc 8"/>
    <w:basedOn w:val="903"/>
    <w:next w:val="903"/>
    <w:uiPriority w:val="39"/>
    <w:unhideWhenUsed/>
    <w:pPr>
      <w:spacing w:after="57"/>
      <w:ind w:left="1984"/>
    </w:pPr>
  </w:style>
  <w:style w:type="paragraph" w:styleId="1071">
    <w:name w:val="toc 9"/>
    <w:basedOn w:val="903"/>
    <w:next w:val="903"/>
    <w:uiPriority w:val="39"/>
    <w:unhideWhenUsed/>
    <w:pPr>
      <w:spacing w:after="57"/>
      <w:ind w:left="2268"/>
    </w:pPr>
  </w:style>
  <w:style w:type="paragraph" w:styleId="1072">
    <w:name w:val="table of figures"/>
    <w:basedOn w:val="903"/>
    <w:next w:val="903"/>
    <w:uiPriority w:val="99"/>
    <w:unhideWhenUsed/>
  </w:style>
  <w:style w:type="paragraph" w:styleId="1073" w:customStyle="1">
    <w:name w:val="Настя заголовок"/>
    <w:basedOn w:val="903"/>
    <w:link w:val="1076"/>
    <w:pPr>
      <w:numPr>
        <w:numId w:val="1"/>
        <w:ilvl w:val="0"/>
      </w:numPr>
      <w:contextualSpacing/>
    </w:pPr>
  </w:style>
  <w:style w:type="paragraph" w:styleId="1074" w:customStyle="1">
    <w:name w:val="Легерт 2 ур"/>
    <w:basedOn w:val="1073"/>
    <w:link w:val="1077"/>
    <w:pPr>
      <w:numPr>
        <w:ilvl w:val="1"/>
      </w:numPr>
      <w:tabs>
        <w:tab w:val="num" w:pos="360" w:leader="none"/>
      </w:tabs>
      <w:spacing w:before="120"/>
      <w:ind w:left="1069" w:hanging="360"/>
    </w:pPr>
    <w:rPr>
      <w:u w:val="single"/>
    </w:rPr>
  </w:style>
  <w:style w:type="paragraph" w:styleId="1075" w:customStyle="1">
    <w:name w:val="Легерт 3 ур"/>
    <w:basedOn w:val="1073"/>
    <w:link w:val="1092"/>
    <w:pPr>
      <w:numPr>
        <w:ilvl w:val="2"/>
      </w:numPr>
      <w:spacing w:before="120"/>
    </w:pPr>
    <w:rPr>
      <w:u w:val="single"/>
    </w:rPr>
  </w:style>
  <w:style w:type="character" w:styleId="1076" w:customStyle="1">
    <w:name w:val="Настя заголовок Знак1"/>
    <w:link w:val="1073"/>
    <w:rPr>
      <w:sz w:val="24"/>
      <w:szCs w:val="24"/>
    </w:rPr>
  </w:style>
  <w:style w:type="character" w:styleId="1077" w:customStyle="1">
    <w:name w:val="Легерт 2 ур Знак"/>
    <w:link w:val="1074"/>
    <w:rPr>
      <w:sz w:val="24"/>
      <w:szCs w:val="24"/>
      <w:u w:val="single"/>
    </w:rPr>
  </w:style>
  <w:style w:type="paragraph" w:styleId="1078" w:customStyle="1">
    <w:name w:val="Легерт 4 ур"/>
    <w:basedOn w:val="1075"/>
    <w:link w:val="1093"/>
    <w:pPr>
      <w:numPr>
        <w:ilvl w:val="3"/>
      </w:numPr>
    </w:pPr>
  </w:style>
  <w:style w:type="paragraph" w:styleId="1079" w:customStyle="1">
    <w:name w:val="Легерт 1 ур"/>
    <w:basedOn w:val="1073"/>
    <w:link w:val="1081"/>
    <w:pPr>
      <w:spacing w:before="120" w:after="120"/>
    </w:pPr>
    <w:rPr>
      <w:b/>
    </w:rPr>
  </w:style>
  <w:style w:type="paragraph" w:styleId="1080">
    <w:name w:val="toc 2"/>
    <w:basedOn w:val="903"/>
    <w:next w:val="903"/>
    <w:uiPriority w:val="39"/>
    <w:pPr>
      <w:tabs>
        <w:tab w:val="left" w:pos="567" w:leader="none"/>
        <w:tab w:val="right" w:pos="9486" w:leader="dot"/>
      </w:tabs>
      <w:spacing w:after="60"/>
      <w:ind w:right="284"/>
      <w:jc w:val="both"/>
    </w:pPr>
    <w:rPr>
      <w:sz w:val="28"/>
    </w:rPr>
  </w:style>
  <w:style w:type="character" w:styleId="1081" w:customStyle="1">
    <w:name w:val="Легерт 1 ур Знак"/>
    <w:link w:val="1079"/>
    <w:rPr>
      <w:b/>
      <w:sz w:val="24"/>
      <w:szCs w:val="24"/>
    </w:rPr>
  </w:style>
  <w:style w:type="paragraph" w:styleId="1082">
    <w:name w:val="toc 1"/>
    <w:basedOn w:val="903"/>
    <w:next w:val="903"/>
    <w:uiPriority w:val="39"/>
    <w:pPr>
      <w:tabs>
        <w:tab w:val="left" w:pos="426" w:leader="none"/>
        <w:tab w:val="right" w:pos="9486" w:leader="dot"/>
      </w:tabs>
      <w:spacing w:after="80"/>
    </w:pPr>
    <w:rPr>
      <w:sz w:val="28"/>
      <w:szCs w:val="28"/>
    </w:rPr>
  </w:style>
  <w:style w:type="paragraph" w:styleId="1083">
    <w:name w:val="toc 3"/>
    <w:basedOn w:val="903"/>
    <w:next w:val="903"/>
    <w:uiPriority w:val="39"/>
    <w:pPr>
      <w:tabs>
        <w:tab w:val="left" w:pos="1320" w:leader="none"/>
        <w:tab w:val="right" w:pos="9486" w:leader="dot"/>
      </w:tabs>
      <w:spacing w:after="100"/>
      <w:ind w:left="480"/>
    </w:pPr>
    <w:rPr>
      <w:b/>
    </w:rPr>
  </w:style>
  <w:style w:type="character" w:styleId="1084">
    <w:name w:val="Hyperlink"/>
    <w:uiPriority w:val="99"/>
    <w:rPr>
      <w:rFonts w:cs="Times New Roman"/>
      <w:color w:val="0000ff"/>
      <w:u w:val="single"/>
    </w:rPr>
  </w:style>
  <w:style w:type="paragraph" w:styleId="1085">
    <w:name w:val="TOC Heading"/>
    <w:basedOn w:val="904"/>
    <w:next w:val="903"/>
    <w:uiPriority w:val="39"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lang w:eastAsia="en-US"/>
    </w:rPr>
  </w:style>
  <w:style w:type="paragraph" w:styleId="1086" w:customStyle="1">
    <w:name w:val="Заголовок таблицы"/>
    <w:basedOn w:val="903"/>
    <w:link w:val="1089"/>
    <w:pPr>
      <w:keepNext/>
      <w:keepLines/>
      <w:spacing w:before="60" w:after="40"/>
    </w:pPr>
    <w:rPr>
      <w:rFonts w:ascii="Arial Narrow" w:hAnsi="Arial Narrow" w:cs="Arial Narrow"/>
      <w:b/>
      <w:bCs/>
      <w:sz w:val="18"/>
      <w:szCs w:val="18"/>
    </w:rPr>
  </w:style>
  <w:style w:type="paragraph" w:styleId="1087" w:customStyle="1">
    <w:name w:val="Текст таблицы"/>
    <w:basedOn w:val="903"/>
    <w:link w:val="1088"/>
    <w:pPr>
      <w:spacing w:before="40" w:after="60"/>
    </w:pPr>
    <w:rPr>
      <w:rFonts w:ascii="Arial" w:hAnsi="Arial" w:cs="Arial"/>
      <w:sz w:val="16"/>
      <w:szCs w:val="16"/>
    </w:rPr>
  </w:style>
  <w:style w:type="character" w:styleId="1088" w:customStyle="1">
    <w:name w:val="Текст таблицы Знак"/>
    <w:link w:val="1087"/>
    <w:rPr>
      <w:rFonts w:ascii="Arial" w:hAnsi="Arial" w:cs="Arial"/>
      <w:sz w:val="16"/>
      <w:szCs w:val="16"/>
      <w:lang w:val="ru-RU" w:eastAsia="ru-RU" w:bidi="ar-SA"/>
    </w:rPr>
  </w:style>
  <w:style w:type="character" w:styleId="1089" w:customStyle="1">
    <w:name w:val="Заголовок таблицы Знак"/>
    <w:link w:val="1086"/>
    <w:rPr>
      <w:rFonts w:ascii="Arial Narrow" w:hAnsi="Arial Narrow" w:cs="Arial Narrow"/>
      <w:b/>
      <w:bCs/>
      <w:sz w:val="18"/>
      <w:szCs w:val="18"/>
      <w:lang w:val="ru-RU" w:eastAsia="ru-RU" w:bidi="ar-SA"/>
    </w:rPr>
  </w:style>
  <w:style w:type="paragraph" w:styleId="1090" w:customStyle="1">
    <w:name w:val="Абзац списка1"/>
    <w:basedOn w:val="903"/>
    <w:link w:val="1091"/>
    <w:pPr>
      <w:ind w:left="720"/>
      <w:contextualSpacing/>
    </w:pPr>
  </w:style>
  <w:style w:type="character" w:styleId="1091" w:customStyle="1">
    <w:name w:val="List Paragraph Char1"/>
    <w:link w:val="1090"/>
    <w:rPr>
      <w:sz w:val="24"/>
      <w:szCs w:val="24"/>
      <w:lang w:val="ru-RU" w:eastAsia="ru-RU" w:bidi="ar-SA"/>
    </w:rPr>
  </w:style>
  <w:style w:type="character" w:styleId="1092" w:customStyle="1">
    <w:name w:val="Легерт 3 ур Знак"/>
    <w:link w:val="1075"/>
    <w:rPr>
      <w:sz w:val="24"/>
      <w:szCs w:val="24"/>
      <w:u w:val="single"/>
    </w:rPr>
  </w:style>
  <w:style w:type="character" w:styleId="1093" w:customStyle="1">
    <w:name w:val="Легерт 4 ур Знак"/>
    <w:link w:val="1078"/>
    <w:rPr>
      <w:sz w:val="24"/>
      <w:szCs w:val="24"/>
      <w:u w:val="single"/>
    </w:rPr>
  </w:style>
  <w:style w:type="paragraph" w:styleId="1094">
    <w:name w:val="Footer"/>
    <w:basedOn w:val="903"/>
    <w:link w:val="1095"/>
    <w:uiPriority w:val="99"/>
    <w:pPr>
      <w:tabs>
        <w:tab w:val="center" w:pos="4677" w:leader="none"/>
        <w:tab w:val="right" w:pos="9355" w:leader="none"/>
      </w:tabs>
    </w:pPr>
  </w:style>
  <w:style w:type="character" w:styleId="1095" w:customStyle="1">
    <w:name w:val="Нижний колонтитул Знак"/>
    <w:link w:val="1094"/>
    <w:uiPriority w:val="99"/>
    <w:rPr>
      <w:sz w:val="24"/>
      <w:szCs w:val="24"/>
      <w:lang w:val="ru-RU" w:eastAsia="ru-RU" w:bidi="ar-SA"/>
    </w:rPr>
  </w:style>
  <w:style w:type="character" w:styleId="1096">
    <w:name w:val="page number"/>
    <w:rPr>
      <w:rFonts w:cs="Times New Roman"/>
    </w:rPr>
  </w:style>
  <w:style w:type="paragraph" w:styleId="1097">
    <w:name w:val="List Paragraph"/>
    <w:basedOn w:val="903"/>
    <w:link w:val="1098"/>
    <w:uiPriority w:val="34"/>
    <w:qFormat/>
    <w:pPr>
      <w:ind w:left="720"/>
      <w:contextualSpacing/>
    </w:pPr>
  </w:style>
  <w:style w:type="character" w:styleId="1098" w:customStyle="1">
    <w:name w:val="Абзац списка Знак"/>
    <w:link w:val="1097"/>
    <w:uiPriority w:val="34"/>
    <w:rPr>
      <w:sz w:val="24"/>
      <w:szCs w:val="24"/>
      <w:lang w:val="ru-RU" w:eastAsia="ru-RU" w:bidi="ar-SA"/>
    </w:rPr>
  </w:style>
  <w:style w:type="paragraph" w:styleId="1099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1100">
    <w:name w:val="Balloon Text"/>
    <w:basedOn w:val="903"/>
    <w:link w:val="1185"/>
    <w:uiPriority w:val="99"/>
    <w:semiHidden/>
    <w:rPr>
      <w:rFonts w:cs="Tahoma"/>
      <w:szCs w:val="16"/>
    </w:rPr>
  </w:style>
  <w:style w:type="paragraph" w:styleId="1101">
    <w:name w:val="Header"/>
    <w:basedOn w:val="903"/>
    <w:link w:val="1102"/>
    <w:uiPriority w:val="99"/>
    <w:pPr>
      <w:tabs>
        <w:tab w:val="center" w:pos="4677" w:leader="none"/>
        <w:tab w:val="right" w:pos="9355" w:leader="none"/>
      </w:tabs>
    </w:pPr>
  </w:style>
  <w:style w:type="character" w:styleId="1102" w:customStyle="1">
    <w:name w:val="Верхний колонтитул Знак"/>
    <w:link w:val="1101"/>
    <w:uiPriority w:val="99"/>
    <w:rPr>
      <w:sz w:val="24"/>
      <w:szCs w:val="24"/>
    </w:rPr>
  </w:style>
  <w:style w:type="paragraph" w:styleId="1103">
    <w:name w:val="Plain Text"/>
    <w:basedOn w:val="903"/>
    <w:link w:val="1104"/>
    <w:uiPriority w:val="99"/>
    <w:qFormat/>
    <w:pPr>
      <w:widowControl w:val="off"/>
      <w:ind w:firstLine="709"/>
      <w:jc w:val="both"/>
    </w:pPr>
    <w:rPr>
      <w:rFonts w:ascii="Liberation Serif" w:hAnsi="Liberation Serif" w:eastAsia="Calibri" w:cs="Liberation Serif"/>
      <w:spacing w:val="-4"/>
      <w:sz w:val="28"/>
      <w:szCs w:val="28"/>
      <w:lang w:eastAsia="en-US"/>
    </w:rPr>
  </w:style>
  <w:style w:type="character" w:styleId="1104" w:customStyle="1">
    <w:name w:val="Текст Знак"/>
    <w:link w:val="1103"/>
    <w:uiPriority w:val="99"/>
    <w:rPr>
      <w:rFonts w:ascii="Liberation Serif" w:hAnsi="Liberation Serif" w:eastAsia="Calibri" w:cs="Liberation Serif"/>
      <w:spacing w:val="-4"/>
      <w:sz w:val="28"/>
      <w:szCs w:val="28"/>
      <w:lang w:eastAsia="en-US"/>
    </w:rPr>
  </w:style>
  <w:style w:type="character" w:styleId="1105" w:customStyle="1">
    <w:name w:val="Не вступил в силу"/>
    <w:uiPriority w:val="99"/>
    <w:rPr>
      <w:rFonts w:cs="Times New Roman"/>
      <w:color w:val="008080"/>
    </w:rPr>
  </w:style>
  <w:style w:type="character" w:styleId="1106" w:customStyle="1">
    <w:name w:val="Заголовок 2 Знак"/>
    <w:link w:val="905"/>
    <w:rPr>
      <w:rFonts w:ascii="Liberation Serif" w:hAnsi="Liberation Serif" w:eastAsia="Calibri" w:cs="Liberation Serif"/>
      <w:b/>
      <w:spacing w:val="-4"/>
      <w:sz w:val="28"/>
      <w:szCs w:val="28"/>
      <w:lang w:eastAsia="en-US"/>
    </w:rPr>
  </w:style>
  <w:style w:type="paragraph" w:styleId="1107">
    <w:name w:val="Body Text"/>
    <w:basedOn w:val="903"/>
    <w:link w:val="1108"/>
    <w:pPr>
      <w:spacing w:line="360" w:lineRule="auto"/>
      <w:jc w:val="both"/>
    </w:pPr>
    <w:rPr>
      <w:rFonts w:ascii="Courier New" w:hAnsi="Courier New"/>
      <w:szCs w:val="20"/>
    </w:rPr>
  </w:style>
  <w:style w:type="character" w:styleId="1108" w:customStyle="1">
    <w:name w:val="Основной текст Знак"/>
    <w:link w:val="1107"/>
    <w:rPr>
      <w:rFonts w:ascii="Courier New" w:hAnsi="Courier New"/>
      <w:sz w:val="24"/>
    </w:rPr>
  </w:style>
  <w:style w:type="character" w:styleId="1109">
    <w:name w:val="FollowedHyperlink"/>
    <w:uiPriority w:val="99"/>
    <w:rPr>
      <w:color w:val="800080"/>
      <w:u w:val="single"/>
    </w:rPr>
  </w:style>
  <w:style w:type="character" w:styleId="1110">
    <w:name w:val="Strong"/>
    <w:uiPriority w:val="22"/>
    <w:qFormat/>
    <w:rPr>
      <w:b/>
      <w:bCs/>
    </w:rPr>
  </w:style>
  <w:style w:type="paragraph" w:styleId="1111" w:customStyle="1">
    <w:name w:val="Стиль1"/>
    <w:basedOn w:val="903"/>
    <w:link w:val="1112"/>
    <w:qFormat/>
    <w:pPr>
      <w:numPr>
        <w:numId w:val="2"/>
        <w:ilvl w:val="0"/>
      </w:numPr>
      <w:spacing w:before="240" w:after="120" w:line="192" w:lineRule="auto"/>
    </w:pPr>
    <w:rPr>
      <w:b/>
      <w:bCs/>
      <w:sz w:val="28"/>
      <w:szCs w:val="28"/>
    </w:rPr>
  </w:style>
  <w:style w:type="character" w:styleId="1112" w:customStyle="1">
    <w:name w:val="Стиль1 Знак"/>
    <w:link w:val="1111"/>
    <w:rPr>
      <w:b/>
      <w:bCs/>
      <w:sz w:val="28"/>
      <w:szCs w:val="28"/>
    </w:rPr>
  </w:style>
  <w:style w:type="paragraph" w:styleId="1113" w:customStyle="1">
    <w:name w:val="Стиль3"/>
    <w:basedOn w:val="903"/>
    <w:link w:val="1184"/>
    <w:qFormat/>
    <w:pPr>
      <w:numPr>
        <w:numId w:val="2"/>
        <w:ilvl w:val="1"/>
      </w:numPr>
      <w:spacing w:before="240" w:after="120"/>
      <w:jc w:val="both"/>
    </w:pPr>
    <w:rPr>
      <w:b/>
      <w:sz w:val="28"/>
      <w:szCs w:val="28"/>
    </w:rPr>
  </w:style>
  <w:style w:type="paragraph" w:styleId="1114" w:customStyle="1">
    <w:name w:val="main"/>
    <w:basedOn w:val="903"/>
    <w:pPr>
      <w:spacing w:before="100" w:beforeAutospacing="1" w:after="100" w:afterAutospacing="1"/>
    </w:pPr>
  </w:style>
  <w:style w:type="paragraph" w:styleId="1115">
    <w:name w:val="annotation text"/>
    <w:basedOn w:val="903"/>
    <w:link w:val="1116"/>
    <w:uiPriority w:val="99"/>
    <w:rPr>
      <w:sz w:val="20"/>
      <w:szCs w:val="20"/>
    </w:rPr>
  </w:style>
  <w:style w:type="character" w:styleId="1116" w:customStyle="1">
    <w:name w:val="Текст примечания Знак"/>
    <w:basedOn w:val="913"/>
    <w:link w:val="1115"/>
    <w:uiPriority w:val="99"/>
  </w:style>
  <w:style w:type="character" w:styleId="1117">
    <w:name w:val="annotation reference"/>
    <w:uiPriority w:val="99"/>
    <w:rPr>
      <w:sz w:val="16"/>
      <w:szCs w:val="16"/>
    </w:rPr>
  </w:style>
  <w:style w:type="paragraph" w:styleId="1118">
    <w:name w:val="annotation subject"/>
    <w:basedOn w:val="1115"/>
    <w:next w:val="1115"/>
    <w:link w:val="1119"/>
    <w:uiPriority w:val="99"/>
    <w:rPr>
      <w:b/>
      <w:bCs/>
    </w:rPr>
  </w:style>
  <w:style w:type="character" w:styleId="1119" w:customStyle="1">
    <w:name w:val="Тема примечания Знак"/>
    <w:link w:val="1118"/>
    <w:uiPriority w:val="99"/>
    <w:rPr>
      <w:b/>
      <w:bCs/>
    </w:rPr>
  </w:style>
  <w:style w:type="paragraph" w:styleId="1120">
    <w:name w:val="footnote text"/>
    <w:basedOn w:val="903"/>
    <w:link w:val="1121"/>
    <w:uiPriority w:val="99"/>
    <w:rPr>
      <w:rFonts w:eastAsia="Calibri"/>
      <w:sz w:val="20"/>
      <w:szCs w:val="20"/>
    </w:rPr>
  </w:style>
  <w:style w:type="character" w:styleId="1121" w:customStyle="1">
    <w:name w:val="Текст сноски Знак"/>
    <w:link w:val="1120"/>
    <w:uiPriority w:val="99"/>
    <w:rPr>
      <w:rFonts w:eastAsia="Calibri"/>
    </w:rPr>
  </w:style>
  <w:style w:type="table" w:styleId="1122">
    <w:name w:val="Table Grid"/>
    <w:basedOn w:val="914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23" w:customStyle="1">
    <w:name w:val="Заголовок 3 Знак"/>
    <w:link w:val="906"/>
    <w:rPr>
      <w:rFonts w:ascii="Liberation Serif" w:hAnsi="Liberation Serif" w:eastAsia="Calibri" w:cs="Liberation Serif"/>
      <w:spacing w:val="-4"/>
      <w:sz w:val="28"/>
      <w:szCs w:val="28"/>
      <w:lang w:eastAsia="en-US"/>
    </w:rPr>
  </w:style>
  <w:style w:type="character" w:styleId="1124" w:customStyle="1">
    <w:name w:val="Заголовок 1 Знак"/>
    <w:link w:val="904"/>
    <w:uiPriority w:val="9"/>
    <w:rPr>
      <w:b/>
      <w:bCs/>
      <w:sz w:val="28"/>
      <w:szCs w:val="28"/>
    </w:rPr>
  </w:style>
  <w:style w:type="paragraph" w:styleId="1125" w:customStyle="1">
    <w:name w:val="Мой заголовок"/>
    <w:basedOn w:val="904"/>
    <w:link w:val="1126"/>
    <w:pPr>
      <w:keepNext w:val="0"/>
      <w:widowControl w:val="off"/>
      <w:spacing w:before="0" w:after="0"/>
      <w:ind w:left="708"/>
    </w:pPr>
    <w:rPr>
      <w:rFonts w:eastAsia="Calibri"/>
      <w:lang w:eastAsia="en-US"/>
    </w:rPr>
  </w:style>
  <w:style w:type="character" w:styleId="1126" w:customStyle="1">
    <w:name w:val="Мой заголовок Знак"/>
    <w:link w:val="1125"/>
    <w:rPr>
      <w:rFonts w:eastAsia="Calibri"/>
      <w:b/>
      <w:bCs/>
      <w:sz w:val="28"/>
      <w:szCs w:val="28"/>
      <w:lang w:eastAsia="en-US"/>
    </w:rPr>
  </w:style>
  <w:style w:type="paragraph" w:styleId="1127">
    <w:name w:val="Normal (Web)"/>
    <w:basedOn w:val="903"/>
    <w:uiPriority w:val="99"/>
    <w:unhideWhenUsed/>
    <w:pPr>
      <w:spacing w:before="100" w:beforeAutospacing="1" w:after="100" w:afterAutospacing="1"/>
    </w:pPr>
  </w:style>
  <w:style w:type="character" w:styleId="1128" w:customStyle="1">
    <w:name w:val="Основной текст_"/>
    <w:link w:val="1129"/>
    <w:rPr>
      <w:sz w:val="26"/>
      <w:szCs w:val="26"/>
      <w:shd w:val="clear" w:color="auto" w:fill="ffffff"/>
    </w:rPr>
  </w:style>
  <w:style w:type="paragraph" w:styleId="1129" w:customStyle="1">
    <w:name w:val="Основной текст2"/>
    <w:basedOn w:val="903"/>
    <w:link w:val="1128"/>
    <w:pPr>
      <w:widowControl w:val="off"/>
      <w:shd w:val="clear" w:color="auto" w:fill="ffffff"/>
      <w:spacing w:before="360" w:line="315" w:lineRule="exact"/>
      <w:jc w:val="both"/>
    </w:pPr>
    <w:rPr>
      <w:sz w:val="26"/>
      <w:szCs w:val="26"/>
    </w:rPr>
  </w:style>
  <w:style w:type="character" w:styleId="1130" w:customStyle="1">
    <w:name w:val="Основной текст (4)_"/>
    <w:link w:val="1132"/>
    <w:rPr>
      <w:i/>
      <w:iCs/>
      <w:sz w:val="26"/>
      <w:szCs w:val="26"/>
      <w:shd w:val="clear" w:color="auto" w:fill="ffffff"/>
    </w:rPr>
  </w:style>
  <w:style w:type="character" w:styleId="1131" w:customStyle="1">
    <w:name w:val="Основной текст (4) + Полужирный;Не курсив"/>
    <w:rPr>
      <w:b/>
      <w:bCs/>
      <w:i/>
      <w:iCs/>
      <w:color w:val="000000"/>
      <w:spacing w:val="0"/>
      <w:position w:val="0"/>
      <w:sz w:val="26"/>
      <w:szCs w:val="26"/>
      <w:shd w:val="clear" w:color="auto" w:fill="ffffff"/>
      <w:lang w:val="ru-RU"/>
    </w:rPr>
  </w:style>
  <w:style w:type="paragraph" w:styleId="1132" w:customStyle="1">
    <w:name w:val="Основной текст (4)"/>
    <w:basedOn w:val="903"/>
    <w:link w:val="1130"/>
    <w:pPr>
      <w:widowControl w:val="off"/>
      <w:shd w:val="clear" w:color="auto" w:fill="ffffff"/>
      <w:spacing w:line="315" w:lineRule="exact"/>
      <w:ind w:firstLine="840"/>
      <w:jc w:val="both"/>
    </w:pPr>
    <w:rPr>
      <w:i/>
      <w:iCs/>
      <w:sz w:val="26"/>
      <w:szCs w:val="26"/>
    </w:rPr>
  </w:style>
  <w:style w:type="paragraph" w:styleId="1133" w:customStyle="1">
    <w:name w:val="m_ПромШапка"/>
    <w:basedOn w:val="903"/>
    <w:pPr>
      <w:keepNext/>
      <w:jc w:val="center"/>
    </w:pPr>
    <w:rPr>
      <w:b/>
      <w:bCs/>
      <w:sz w:val="20"/>
    </w:rPr>
  </w:style>
  <w:style w:type="character" w:styleId="1134" w:customStyle="1">
    <w:name w:val="m_ПростойТекст Char"/>
    <w:link w:val="1135"/>
    <w:rPr>
      <w:sz w:val="24"/>
      <w:szCs w:val="24"/>
    </w:rPr>
  </w:style>
  <w:style w:type="paragraph" w:styleId="1135" w:customStyle="1">
    <w:name w:val="m_ПростойТекст"/>
    <w:basedOn w:val="903"/>
    <w:link w:val="1134"/>
    <w:pPr>
      <w:jc w:val="both"/>
    </w:pPr>
  </w:style>
  <w:style w:type="paragraph" w:styleId="1136" w:customStyle="1">
    <w:name w:val="m_ТекстТаблицы"/>
    <w:basedOn w:val="1135"/>
    <w:pPr>
      <w:jc w:val="left"/>
    </w:pPr>
    <w:rPr>
      <w:sz w:val="20"/>
    </w:rPr>
  </w:style>
  <w:style w:type="character" w:styleId="1137" w:customStyle="1">
    <w:name w:val="Font Style39"/>
    <w:uiPriority w:val="99"/>
    <w:rPr>
      <w:rFonts w:ascii="Times New Roman" w:hAnsi="Times New Roman" w:cs="Times New Roman"/>
      <w:sz w:val="26"/>
      <w:szCs w:val="26"/>
    </w:rPr>
  </w:style>
  <w:style w:type="paragraph" w:styleId="1138">
    <w:name w:val="Revision"/>
    <w:hidden/>
    <w:uiPriority w:val="99"/>
    <w:semiHidden/>
    <w:rPr>
      <w:sz w:val="24"/>
      <w:szCs w:val="24"/>
    </w:rPr>
  </w:style>
  <w:style w:type="paragraph" w:styleId="1139" w:customStyle="1">
    <w:name w:val="Style15"/>
    <w:basedOn w:val="903"/>
    <w:uiPriority w:val="99"/>
    <w:pPr>
      <w:widowControl w:val="off"/>
      <w:spacing w:line="323" w:lineRule="exact"/>
      <w:ind w:firstLine="713"/>
    </w:pPr>
  </w:style>
  <w:style w:type="paragraph" w:styleId="1140" w:customStyle="1">
    <w:name w:val="Style10"/>
    <w:basedOn w:val="903"/>
    <w:uiPriority w:val="99"/>
    <w:pPr>
      <w:widowControl w:val="off"/>
      <w:spacing w:line="332" w:lineRule="exact"/>
      <w:ind w:firstLine="703"/>
      <w:jc w:val="both"/>
    </w:pPr>
  </w:style>
  <w:style w:type="paragraph" w:styleId="1141" w:customStyle="1">
    <w:name w:val="Style8"/>
    <w:basedOn w:val="903"/>
    <w:uiPriority w:val="99"/>
    <w:pPr>
      <w:widowControl w:val="off"/>
      <w:spacing w:line="303" w:lineRule="exact"/>
      <w:ind w:firstLine="737"/>
      <w:jc w:val="both"/>
    </w:pPr>
  </w:style>
  <w:style w:type="paragraph" w:styleId="1142" w:customStyle="1">
    <w:name w:val="Style12"/>
    <w:basedOn w:val="903"/>
    <w:uiPriority w:val="99"/>
    <w:pPr>
      <w:widowControl w:val="off"/>
      <w:spacing w:line="323" w:lineRule="exact"/>
      <w:ind w:firstLine="838"/>
      <w:jc w:val="both"/>
    </w:pPr>
  </w:style>
  <w:style w:type="paragraph" w:styleId="1143" w:customStyle="1">
    <w:name w:val="Style24"/>
    <w:basedOn w:val="903"/>
    <w:uiPriority w:val="99"/>
    <w:pPr>
      <w:widowControl w:val="off"/>
      <w:spacing w:line="320" w:lineRule="exact"/>
      <w:ind w:firstLine="833"/>
      <w:jc w:val="both"/>
    </w:pPr>
  </w:style>
  <w:style w:type="paragraph" w:styleId="1144">
    <w:name w:val="Title"/>
    <w:basedOn w:val="904"/>
    <w:next w:val="903"/>
    <w:link w:val="1145"/>
    <w:qFormat/>
    <w:pPr>
      <w:keepNext w:val="0"/>
      <w:widowControl w:val="off"/>
      <w:numPr>
        <w:numId w:val="17"/>
        <w:ilvl w:val="0"/>
      </w:numPr>
      <w:spacing w:after="120"/>
      <w:ind w:left="0" w:firstLine="709"/>
      <w:contextualSpacing/>
    </w:pPr>
    <w:rPr>
      <w:rFonts w:ascii="Liberation Serif" w:hAnsi="Liberation Serif" w:eastAsia="Calibri" w:cs="Liberation Serif"/>
      <w:lang w:eastAsia="en-US"/>
    </w:rPr>
  </w:style>
  <w:style w:type="character" w:styleId="1145" w:customStyle="1">
    <w:name w:val="Заголовок Знак"/>
    <w:link w:val="1144"/>
    <w:rPr>
      <w:rFonts w:ascii="Liberation Serif" w:hAnsi="Liberation Serif" w:eastAsia="Calibri" w:cs="Liberation Serif"/>
      <w:b/>
      <w:bCs/>
      <w:sz w:val="28"/>
      <w:szCs w:val="28"/>
      <w:lang w:eastAsia="en-US"/>
    </w:rPr>
  </w:style>
  <w:style w:type="character" w:styleId="1146" w:customStyle="1">
    <w:name w:val="Заголовок 4 Знак"/>
    <w:link w:val="907"/>
    <w:semiHidden/>
    <w:rPr>
      <w:rFonts w:ascii="Cambria" w:hAnsi="Cambria"/>
      <w:i/>
      <w:iCs/>
      <w:color w:val="365f91"/>
      <w:sz w:val="24"/>
      <w:szCs w:val="24"/>
    </w:rPr>
  </w:style>
  <w:style w:type="character" w:styleId="1147" w:customStyle="1">
    <w:name w:val="Заголовок 5 Знак"/>
    <w:link w:val="908"/>
    <w:semiHidden/>
    <w:rPr>
      <w:rFonts w:ascii="Cambria" w:hAnsi="Cambria"/>
      <w:color w:val="365f91"/>
      <w:sz w:val="24"/>
      <w:szCs w:val="24"/>
    </w:rPr>
  </w:style>
  <w:style w:type="character" w:styleId="1148" w:customStyle="1">
    <w:name w:val="Заголовок 6 Знак"/>
    <w:link w:val="909"/>
    <w:semiHidden/>
    <w:rPr>
      <w:rFonts w:ascii="Cambria" w:hAnsi="Cambria"/>
      <w:color w:val="243f60"/>
      <w:sz w:val="24"/>
      <w:szCs w:val="24"/>
    </w:rPr>
  </w:style>
  <w:style w:type="character" w:styleId="1149" w:customStyle="1">
    <w:name w:val="Заголовок 7 Знак"/>
    <w:link w:val="910"/>
    <w:semiHidden/>
    <w:rPr>
      <w:rFonts w:ascii="Cambria" w:hAnsi="Cambria"/>
      <w:i/>
      <w:iCs/>
      <w:color w:val="243f60"/>
      <w:sz w:val="24"/>
      <w:szCs w:val="24"/>
    </w:rPr>
  </w:style>
  <w:style w:type="character" w:styleId="1150" w:customStyle="1">
    <w:name w:val="Заголовок 8 Знак"/>
    <w:link w:val="911"/>
    <w:semiHidden/>
    <w:rPr>
      <w:rFonts w:ascii="Cambria" w:hAnsi="Cambria"/>
      <w:color w:val="272727"/>
      <w:sz w:val="21"/>
      <w:szCs w:val="21"/>
    </w:rPr>
  </w:style>
  <w:style w:type="character" w:styleId="1151" w:customStyle="1">
    <w:name w:val="Заголовок 9 Знак"/>
    <w:link w:val="912"/>
    <w:semiHidden/>
    <w:rPr>
      <w:rFonts w:ascii="Cambria" w:hAnsi="Cambria"/>
      <w:i/>
      <w:iCs/>
      <w:color w:val="272727"/>
      <w:sz w:val="21"/>
      <w:szCs w:val="21"/>
    </w:rPr>
  </w:style>
  <w:style w:type="paragraph" w:styleId="1152" w:customStyle="1">
    <w:name w:val="Текст_бюл"/>
    <w:basedOn w:val="1097"/>
    <w:link w:val="1153"/>
    <w:qFormat/>
    <w:pPr>
      <w:widowControl w:val="off"/>
      <w:numPr>
        <w:numId w:val="4"/>
        <w:ilvl w:val="0"/>
      </w:numPr>
      <w:shd w:val="clear" w:color="auto" w:fill="ffffff"/>
      <w:tabs>
        <w:tab w:val="left" w:pos="993" w:leader="none"/>
      </w:tabs>
      <w:contextualSpacing w:val="0"/>
      <w:jc w:val="both"/>
    </w:pPr>
    <w:rPr>
      <w:rFonts w:ascii="Liberation Serif" w:hAnsi="Liberation Serif" w:eastAsia="Calibri" w:cs="Liberation Serif"/>
      <w:sz w:val="28"/>
      <w:szCs w:val="28"/>
    </w:rPr>
  </w:style>
  <w:style w:type="character" w:styleId="1153" w:customStyle="1">
    <w:name w:val="Текст_бюл Знак"/>
    <w:link w:val="1152"/>
    <w:rPr>
      <w:rFonts w:ascii="Liberation Serif" w:hAnsi="Liberation Serif" w:eastAsia="Calibri" w:cs="Liberation Serif"/>
      <w:sz w:val="28"/>
      <w:szCs w:val="28"/>
      <w:shd w:val="clear" w:color="auto" w:fill="ffffff"/>
    </w:rPr>
  </w:style>
  <w:style w:type="paragraph" w:styleId="1154" w:customStyle="1">
    <w:name w:val="Табличный"/>
    <w:basedOn w:val="903"/>
    <w:link w:val="1155"/>
    <w:qFormat/>
    <w:pPr>
      <w:widowControl w:val="off"/>
      <w:tabs>
        <w:tab w:val="left" w:pos="426" w:leader="none"/>
      </w:tabs>
      <w:jc w:val="both"/>
    </w:pPr>
    <w:rPr>
      <w:rFonts w:ascii="Calibri" w:hAnsi="Calibri"/>
      <w:lang w:eastAsia="en-US"/>
    </w:rPr>
  </w:style>
  <w:style w:type="character" w:styleId="1155" w:customStyle="1">
    <w:name w:val="Табличный Знак"/>
    <w:link w:val="1154"/>
    <w:rPr>
      <w:rFonts w:ascii="Calibri" w:hAnsi="Calibri" w:eastAsia="Times New Roman"/>
      <w:sz w:val="24"/>
      <w:szCs w:val="24"/>
      <w:lang w:eastAsia="en-US"/>
    </w:rPr>
  </w:style>
  <w:style w:type="paragraph" w:styleId="1156" w:customStyle="1">
    <w:name w:val="Заголовок 1-го уровня (раздел)"/>
    <w:basedOn w:val="1164"/>
    <w:next w:val="1157"/>
    <w:link w:val="1158"/>
    <w:pPr>
      <w:numPr>
        <w:numId w:val="0"/>
        <w:ilvl w:val="0"/>
      </w:numPr>
      <w:jc w:val="both"/>
      <w:outlineLvl w:val="0"/>
    </w:pPr>
    <w:rPr>
      <w:rFonts w:ascii="Times New Roman Полужирный" w:hAnsi="Times New Roman Полужирный"/>
      <w:b/>
      <w:color w:val="000000"/>
      <w:sz w:val="28"/>
      <w:szCs w:val="28"/>
    </w:rPr>
  </w:style>
  <w:style w:type="paragraph" w:styleId="1157" w:customStyle="1">
    <w:name w:val="Основной текст 14"/>
    <w:basedOn w:val="903"/>
    <w:link w:val="1160"/>
    <w:qFormat/>
    <w:pPr>
      <w:ind w:firstLine="709"/>
      <w:jc w:val="both"/>
    </w:pPr>
    <w:rPr>
      <w:color w:val="000000"/>
      <w:sz w:val="28"/>
      <w:szCs w:val="28"/>
    </w:rPr>
  </w:style>
  <w:style w:type="character" w:styleId="1158" w:customStyle="1">
    <w:name w:val="Заголовок 1-го уровня (раздел) Знак"/>
    <w:link w:val="1156"/>
    <w:rPr>
      <w:rFonts w:ascii="Times New Roman Полужирный" w:hAnsi="Times New Roman Полужирный"/>
      <w:b/>
      <w:color w:val="000000"/>
      <w:sz w:val="28"/>
      <w:szCs w:val="28"/>
    </w:rPr>
  </w:style>
  <w:style w:type="paragraph" w:styleId="1159" w:customStyle="1">
    <w:name w:val="Основной 12"/>
    <w:basedOn w:val="1154"/>
    <w:link w:val="1161"/>
    <w:qFormat/>
    <w:pPr>
      <w:ind w:firstLine="709"/>
    </w:pPr>
  </w:style>
  <w:style w:type="character" w:styleId="1160" w:customStyle="1">
    <w:name w:val="Основной текст 14 Знак"/>
    <w:link w:val="1157"/>
    <w:rPr>
      <w:color w:val="000000"/>
      <w:sz w:val="28"/>
      <w:szCs w:val="28"/>
    </w:rPr>
  </w:style>
  <w:style w:type="character" w:styleId="1161" w:customStyle="1">
    <w:name w:val="Основной 12 Знак"/>
    <w:link w:val="1159"/>
    <w:rPr>
      <w:rFonts w:ascii="Calibri" w:hAnsi="Calibri" w:eastAsia="Times New Roman"/>
      <w:sz w:val="24"/>
      <w:szCs w:val="24"/>
      <w:lang w:eastAsia="en-US"/>
    </w:rPr>
  </w:style>
  <w:style w:type="paragraph" w:styleId="1162" w:customStyle="1">
    <w:name w:val="Заголовок 2-го уровня"/>
    <w:basedOn w:val="1156"/>
    <w:next w:val="1157"/>
    <w:pPr>
      <w:outlineLvl w:val="1"/>
    </w:pPr>
  </w:style>
  <w:style w:type="paragraph" w:styleId="1163" w:customStyle="1">
    <w:name w:val="Заголовок 3-го уровня"/>
    <w:basedOn w:val="1162"/>
    <w:next w:val="1157"/>
    <w:qFormat/>
    <w:pPr>
      <w:numPr>
        <w:ilvl w:val="2"/>
      </w:numPr>
      <w:ind w:left="2902" w:hanging="360"/>
      <w:outlineLvl w:val="2"/>
    </w:pPr>
  </w:style>
  <w:style w:type="paragraph" w:styleId="1164">
    <w:name w:val="List Number"/>
    <w:basedOn w:val="903"/>
    <w:pPr>
      <w:numPr>
        <w:numId w:val="5"/>
        <w:ilvl w:val="0"/>
      </w:numPr>
      <w:contextualSpacing/>
    </w:pPr>
  </w:style>
  <w:style w:type="paragraph" w:styleId="1165" w:customStyle="1">
    <w:name w:val="Заголовок(таблица)"/>
    <w:basedOn w:val="903"/>
    <w:link w:val="1167"/>
    <w:qFormat/>
    <w:pPr>
      <w:jc w:val="center"/>
    </w:pPr>
    <w:rPr>
      <w:rFonts w:ascii="Times New Roman Полужирный" w:hAnsi="Times New Roman Полужирный"/>
      <w:b/>
      <w:color w:val="000000"/>
      <w:szCs w:val="28"/>
    </w:rPr>
  </w:style>
  <w:style w:type="paragraph" w:styleId="1166" w:customStyle="1">
    <w:name w:val="Заголовок(раздел)"/>
    <w:basedOn w:val="1164"/>
    <w:next w:val="1157"/>
    <w:link w:val="1168"/>
    <w:pPr>
      <w:numPr>
        <w:numId w:val="8"/>
        <w:ilvl w:val="0"/>
      </w:numPr>
      <w:spacing w:line="300" w:lineRule="auto"/>
      <w:jc w:val="both"/>
    </w:pPr>
    <w:rPr>
      <w:rFonts w:ascii="Times New Roman Полужирный" w:hAnsi="Times New Roman Полужирный"/>
      <w:b/>
      <w:color w:val="000000"/>
      <w:sz w:val="28"/>
      <w:szCs w:val="28"/>
    </w:rPr>
  </w:style>
  <w:style w:type="character" w:styleId="1167" w:customStyle="1">
    <w:name w:val="Заголовок(таблица) Знак"/>
    <w:link w:val="1165"/>
    <w:rPr>
      <w:rFonts w:ascii="Times New Roman Полужирный" w:hAnsi="Times New Roman Полужирный"/>
      <w:b/>
      <w:color w:val="000000"/>
      <w:sz w:val="24"/>
      <w:szCs w:val="28"/>
    </w:rPr>
  </w:style>
  <w:style w:type="character" w:styleId="1168" w:customStyle="1">
    <w:name w:val="Заголовок(раздел) Знак"/>
    <w:link w:val="1166"/>
    <w:rPr>
      <w:rFonts w:ascii="Times New Roman Полужирный" w:hAnsi="Times New Roman Полужирный"/>
      <w:b/>
      <w:color w:val="000000"/>
      <w:sz w:val="28"/>
      <w:szCs w:val="28"/>
    </w:rPr>
  </w:style>
  <w:style w:type="paragraph" w:styleId="1169" w:customStyle="1">
    <w:name w:val="Заголовок второго уровня"/>
    <w:basedOn w:val="1166"/>
    <w:pPr>
      <w:numPr>
        <w:ilvl w:val="1"/>
      </w:numPr>
      <w:ind w:left="1074" w:hanging="720"/>
    </w:pPr>
  </w:style>
  <w:style w:type="paragraph" w:styleId="1170" w:customStyle="1">
    <w:name w:val="Текст_бюл2"/>
    <w:basedOn w:val="1152"/>
    <w:link w:val="1171"/>
    <w:qFormat/>
    <w:pPr>
      <w:numPr>
        <w:numId w:val="9"/>
        <w:ilvl w:val="0"/>
      </w:numPr>
      <w:tabs>
        <w:tab w:val="clear" w:pos="993" w:leader="none"/>
        <w:tab w:val="left" w:pos="1276" w:leader="none"/>
      </w:tabs>
    </w:pPr>
  </w:style>
  <w:style w:type="character" w:styleId="1171" w:customStyle="1">
    <w:name w:val="Текст_бюл2 Знак"/>
    <w:link w:val="1170"/>
    <w:rPr>
      <w:rFonts w:ascii="Liberation Serif" w:hAnsi="Liberation Serif" w:eastAsia="Calibri" w:cs="Liberation Serif"/>
      <w:sz w:val="28"/>
      <w:szCs w:val="28"/>
      <w:shd w:val="clear" w:color="auto" w:fill="ffffff"/>
    </w:rPr>
  </w:style>
  <w:style w:type="paragraph" w:styleId="1172" w:customStyle="1">
    <w:name w:val="Default"/>
    <w:rPr>
      <w:rFonts w:ascii="Arial" w:hAnsi="Arial" w:cs="Arial"/>
      <w:color w:val="000000"/>
      <w:sz w:val="24"/>
      <w:szCs w:val="24"/>
    </w:rPr>
  </w:style>
  <w:style w:type="paragraph" w:styleId="1173" w:customStyle="1">
    <w:name w:val="db9fe9049761426654245bb2dd862eecmsonormal"/>
    <w:basedOn w:val="903"/>
    <w:pPr>
      <w:spacing w:before="100" w:beforeAutospacing="1" w:after="100" w:afterAutospacing="1"/>
    </w:pPr>
  </w:style>
  <w:style w:type="character" w:styleId="1174">
    <w:name w:val="footnote reference"/>
    <w:uiPriority w:val="99"/>
    <w:semiHidden/>
    <w:unhideWhenUsed/>
    <w:rPr>
      <w:vertAlign w:val="superscript"/>
    </w:rPr>
  </w:style>
  <w:style w:type="paragraph" w:styleId="1175" w:customStyle="1">
    <w:name w:val="Основной текст3"/>
    <w:basedOn w:val="903"/>
    <w:pPr>
      <w:widowControl w:val="off"/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styleId="1176" w:customStyle="1">
    <w:name w:val="m_1_Пункт"/>
    <w:basedOn w:val="903"/>
    <w:next w:val="903"/>
    <w:pPr>
      <w:keepNext/>
      <w:numPr>
        <w:numId w:val="10"/>
        <w:ilvl w:val="0"/>
      </w:numPr>
      <w:tabs>
        <w:tab w:val="clear" w:pos="360" w:leader="none"/>
      </w:tabs>
      <w:ind w:left="360" w:hanging="360"/>
      <w:jc w:val="both"/>
    </w:pPr>
    <w:rPr>
      <w:b/>
      <w:caps/>
    </w:rPr>
  </w:style>
  <w:style w:type="paragraph" w:styleId="1177" w:customStyle="1">
    <w:name w:val="m_2_Пункт"/>
    <w:basedOn w:val="903"/>
    <w:next w:val="903"/>
    <w:pPr>
      <w:keepNext/>
      <w:numPr>
        <w:numId w:val="10"/>
        <w:ilvl w:val="1"/>
      </w:numPr>
      <w:tabs>
        <w:tab w:val="clear" w:pos="360" w:leader="none"/>
        <w:tab w:val="left" w:pos="510" w:leader="none"/>
      </w:tabs>
      <w:ind w:left="574" w:hanging="432"/>
      <w:jc w:val="both"/>
    </w:pPr>
    <w:rPr>
      <w:b/>
    </w:rPr>
  </w:style>
  <w:style w:type="paragraph" w:styleId="1178" w:customStyle="1">
    <w:name w:val="m_3_Пункт"/>
    <w:basedOn w:val="903"/>
    <w:next w:val="903"/>
    <w:pPr>
      <w:numPr>
        <w:numId w:val="10"/>
        <w:ilvl w:val="2"/>
      </w:numPr>
      <w:tabs>
        <w:tab w:val="num" w:pos="360" w:leader="none"/>
        <w:tab w:val="clear" w:pos="720" w:leader="none"/>
      </w:tabs>
      <w:ind w:left="1224" w:hanging="504"/>
      <w:jc w:val="both"/>
    </w:pPr>
    <w:rPr>
      <w:b/>
      <w:lang w:val="en-US"/>
    </w:rPr>
  </w:style>
  <w:style w:type="character" w:styleId="1179" w:customStyle="1">
    <w:name w:val="field"/>
  </w:style>
  <w:style w:type="character" w:styleId="1180" w:customStyle="1">
    <w:name w:val="FMainTXT Знак"/>
    <w:link w:val="1181"/>
    <w:rPr>
      <w:rFonts w:ascii="Arial" w:hAnsi="Arial" w:cs="Arial"/>
      <w:sz w:val="24"/>
    </w:rPr>
  </w:style>
  <w:style w:type="paragraph" w:styleId="1181" w:customStyle="1">
    <w:name w:val="FMainTXT"/>
    <w:basedOn w:val="903"/>
    <w:link w:val="1180"/>
    <w:pPr>
      <w:spacing w:before="60" w:after="60" w:line="360" w:lineRule="auto"/>
      <w:ind w:firstLine="567"/>
      <w:jc w:val="both"/>
    </w:pPr>
    <w:rPr>
      <w:rFonts w:ascii="Arial" w:hAnsi="Arial" w:cs="Arial"/>
      <w:szCs w:val="20"/>
    </w:rPr>
  </w:style>
  <w:style w:type="character" w:styleId="1182" w:customStyle="1">
    <w:name w:val="Стиль2 Знак"/>
    <w:link w:val="1183"/>
    <w:rPr>
      <w:b/>
      <w:bCs/>
      <w:sz w:val="28"/>
      <w:szCs w:val="28"/>
    </w:rPr>
  </w:style>
  <w:style w:type="paragraph" w:styleId="1183" w:customStyle="1">
    <w:name w:val="Стиль2"/>
    <w:basedOn w:val="903"/>
    <w:link w:val="1182"/>
    <w:qFormat/>
    <w:pPr>
      <w:numPr>
        <w:numId w:val="11"/>
        <w:ilvl w:val="1"/>
      </w:numPr>
      <w:spacing w:before="240" w:after="120"/>
    </w:pPr>
    <w:rPr>
      <w:b/>
      <w:bCs/>
      <w:sz w:val="28"/>
      <w:szCs w:val="28"/>
    </w:rPr>
  </w:style>
  <w:style w:type="character" w:styleId="1184" w:customStyle="1">
    <w:name w:val="Стиль3 Знак"/>
    <w:link w:val="1113"/>
    <w:rPr>
      <w:b/>
      <w:sz w:val="28"/>
      <w:szCs w:val="28"/>
    </w:rPr>
  </w:style>
  <w:style w:type="character" w:styleId="1185" w:customStyle="1">
    <w:name w:val="Текст выноски Знак"/>
    <w:link w:val="1100"/>
    <w:uiPriority w:val="99"/>
    <w:semiHidden/>
    <w:rPr>
      <w:rFonts w:cs="Tahoma"/>
      <w:sz w:val="24"/>
      <w:szCs w:val="16"/>
    </w:rPr>
  </w:style>
  <w:style w:type="character" w:styleId="1186" w:customStyle="1">
    <w:name w:val="m-mark"/>
  </w:style>
  <w:style w:type="character" w:styleId="1187" w:customStyle="1">
    <w:name w:val="Font Style92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1188" w:customStyle="1">
    <w:name w:val="ConsPlusNormal"/>
    <w:pPr>
      <w:widowControl w:val="off"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B54E9-6324-4313-9510-516402D1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приказу</dc:title>
  <dc:subject/>
  <dc:creator>Митяев</dc:creator>
  <cp:keywords/>
  <dc:description/>
  <cp:lastModifiedBy>zimin_aa</cp:lastModifiedBy>
  <cp:revision>6</cp:revision>
  <dcterms:created xsi:type="dcterms:W3CDTF">2026-01-23T11:01:00Z</dcterms:created>
  <dcterms:modified xsi:type="dcterms:W3CDTF">2026-01-29T05:07:57Z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gic_key">
    <vt:lpwstr/>
  </property>
  <property fmtid="{D5CDD505-2E9C-101B-9397-08002B2CF9AE}" pid="3" name="CustomObjectId">
    <vt:lpwstr/>
  </property>
  <property fmtid="{D5CDD505-2E9C-101B-9397-08002B2CF9AE}" pid="4" name="CustomServerURL">
    <vt:lpwstr/>
  </property>
  <property fmtid="{D5CDD505-2E9C-101B-9397-08002B2CF9AE}" pid="5" name="CustomUserId">
    <vt:lpwstr/>
  </property>
  <property fmtid="{D5CDD505-2E9C-101B-9397-08002B2CF9AE}" pid="6" name="CustomObjectState">
    <vt:lpwstr/>
  </property>
  <property fmtid="{D5CDD505-2E9C-101B-9397-08002B2CF9AE}" pid="7" name="MacrosDisabled">
    <vt:lpwstr/>
  </property>
  <property fmtid="{D5CDD505-2E9C-101B-9397-08002B2CF9AE}" pid="8" name="ConfirmationToolBarEnabled">
    <vt:lpwstr/>
  </property>
</Properties>
</file>