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tabs>
          <w:tab w:val="left" w:pos="0"/>
        </w:tabs>
        <w:ind w:firstLine="6379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 w:eastAsia="ru-RU"/>
        </w:rPr>
        <w:t xml:space="preserve">Приложение №</w:t>
      </w:r>
      <w:r>
        <w:rPr>
          <w:rFonts w:ascii="Liberation Serif" w:hAnsi="Liberation Serif" w:eastAsia="Liberation Serif" w:cs="Liberation Serif"/>
          <w:lang w:val="ru-RU" w:eastAsia="ru-RU"/>
        </w:rPr>
        <w:t xml:space="preserve">3</w:t>
      </w:r>
      <w:r>
        <w:rPr>
          <w:rFonts w:ascii="Liberation Serif" w:hAnsi="Liberation Serif" w:eastAsia="Liberation Serif" w:cs="Liberation Serif"/>
          <w:lang w:val="ru-RU" w:eastAsia="ru-RU"/>
        </w:rPr>
        <w:t xml:space="preserve"> к приказу </w:t>
      </w:r>
    </w:p>
    <w:p>
      <w:pPr>
        <w:tabs>
          <w:tab w:val="left" w:pos="0"/>
        </w:tabs>
        <w:ind w:firstLine="6379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 w:eastAsia="ru-RU"/>
        </w:rPr>
        <w:t xml:space="preserve">ПАО «Саратовэнерго»</w:t>
      </w:r>
    </w:p>
    <w:p>
      <w:pPr>
        <w:tabs>
          <w:tab w:val="left" w:pos="0"/>
        </w:tabs>
        <w:ind w:firstLine="6379"/>
        <w:rPr>
          <w:rFonts w:ascii="Liberation Serif" w:hAnsi="Liberation Serif" w:cs="Liberation Serif"/>
          <w:lang w:val="ru-RU"/>
        </w:rPr>
      </w:pPr>
    </w:p>
    <w:p>
      <w:pPr>
        <w:tabs>
          <w:tab w:val="left" w:pos="0"/>
        </w:tabs>
        <w:ind w:firstLine="6379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 w:eastAsia="ru-RU"/>
        </w:rPr>
        <w:t xml:space="preserve">от _________ №______</w:t>
      </w: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 </w:t>
      </w: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spacing w:line="360" w:lineRule="auto"/>
        <w:jc w:val="center"/>
        <w:rPr>
          <w:rFonts w:ascii="Liberation Serif" w:hAnsi="Liberation Serif" w:cs="Liberation Serif"/>
          <w:b/>
          <w:bCs/>
          <w:sz w:val="32"/>
          <w:szCs w:val="32"/>
          <w:lang w:val="ru-RU"/>
        </w:rPr>
      </w:pPr>
      <w:r>
        <w:rPr>
          <w:rFonts w:ascii="Liberation Serif" w:hAnsi="Liberation Serif" w:eastAsia="Liberation Serif" w:cs="Liberation Serif"/>
          <w:b/>
          <w:bCs/>
          <w:sz w:val="32"/>
          <w:szCs w:val="32"/>
          <w:lang w:val="ru-RU" w:eastAsia="ru-RU"/>
        </w:rPr>
        <w:t xml:space="preserve">Программа мероприятий</w:t>
      </w:r>
    </w:p>
    <w:p>
      <w:pPr>
        <w:spacing w:line="360" w:lineRule="auto"/>
        <w:jc w:val="center"/>
        <w:rPr>
          <w:rFonts w:ascii="Liberation Serif" w:hAnsi="Liberation Serif" w:cs="Liberation Serif"/>
          <w:b/>
          <w:bCs/>
          <w:sz w:val="32"/>
          <w:szCs w:val="32"/>
          <w:lang w:val="ru-RU"/>
        </w:rPr>
      </w:pPr>
      <w:r>
        <w:rPr>
          <w:rFonts w:ascii="Liberation Serif" w:hAnsi="Liberation Serif" w:eastAsia="Liberation Serif" w:cs="Liberation Serif"/>
          <w:b/>
          <w:bCs/>
          <w:sz w:val="32"/>
          <w:szCs w:val="32"/>
          <w:lang w:val="ru-RU" w:eastAsia="ru-RU"/>
        </w:rPr>
        <w:t xml:space="preserve">по повышению качества обслуживания клиентов</w:t>
      </w:r>
    </w:p>
    <w:p>
      <w:pPr>
        <w:spacing w:line="360" w:lineRule="auto"/>
        <w:jc w:val="center"/>
        <w:rPr>
          <w:rFonts w:ascii="Liberation Serif" w:hAnsi="Liberation Serif" w:cs="Liberation Serif"/>
          <w:b/>
          <w:bCs/>
          <w:sz w:val="32"/>
          <w:szCs w:val="32"/>
          <w:lang w:val="ru-RU"/>
        </w:rPr>
      </w:pPr>
      <w:r>
        <w:rPr>
          <w:rFonts w:ascii="Liberation Serif" w:hAnsi="Liberation Serif" w:eastAsia="Liberation Serif" w:cs="Liberation Serif"/>
          <w:b/>
          <w:bCs/>
          <w:sz w:val="32"/>
          <w:szCs w:val="32"/>
          <w:lang w:val="ru-RU" w:eastAsia="ru-RU"/>
        </w:rPr>
        <w:t xml:space="preserve">ПАО «Саратовэнерго»</w:t>
      </w:r>
    </w:p>
    <w:p>
      <w:pPr>
        <w:spacing w:line="360" w:lineRule="auto"/>
        <w:jc w:val="center"/>
        <w:rPr>
          <w:rFonts w:ascii="Liberation Serif" w:hAnsi="Liberation Serif" w:cs="Liberation Serif"/>
          <w:b/>
          <w:bCs/>
          <w:sz w:val="32"/>
          <w:szCs w:val="32"/>
          <w:lang w:val="ru-RU"/>
        </w:rPr>
      </w:pPr>
      <w:r>
        <w:rPr>
          <w:rFonts w:ascii="Liberation Serif" w:hAnsi="Liberation Serif" w:eastAsia="Liberation Serif" w:cs="Liberation Serif"/>
          <w:b/>
          <w:bCs/>
          <w:sz w:val="32"/>
          <w:szCs w:val="32"/>
          <w:lang w:val="ru-RU" w:eastAsia="ru-RU"/>
        </w:rPr>
        <w:t xml:space="preserve">на 2026 год</w:t>
      </w: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rPr>
          <w:rFonts w:ascii="Liberation Serif" w:hAnsi="Liberation Serif" w:cs="Liberation Serif"/>
          <w:lang w:val="ru-RU"/>
        </w:rPr>
      </w:pPr>
    </w:p>
    <w:p>
      <w:pPr>
        <w:tabs>
          <w:tab w:val="left" w:pos="1155"/>
        </w:tabs>
        <w:jc w:val="center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Саратов</w:t>
      </w:r>
    </w:p>
    <w:p>
      <w:pPr>
        <w:tabs>
          <w:tab w:val="left" w:pos="1155"/>
        </w:tabs>
        <w:jc w:val="center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2026 г.</w:t>
      </w:r>
    </w:p>
    <w:p>
      <w:pPr>
        <w:rPr>
          <w:rFonts w:ascii="Liberation Serif" w:hAnsi="Liberation Serif" w:cs="Liberation Serif"/>
          <w:b/>
        </w:rPr>
      </w:pPr>
      <w:r>
        <w:rPr>
          <w:rFonts w:ascii="Liberation Serif" w:hAnsi="Liberation Serif" w:eastAsia="Liberation Serif" w:cs="Liberation Serif"/>
          <w:lang w:val="ru-RU"/>
        </w:rPr>
        <w:br w:type="page" w:clear="all"/>
      </w:r>
      <w:r>
        <w:rPr>
          <w:rFonts w:ascii="Liberation Serif" w:hAnsi="Liberation Serif" w:eastAsia="Liberation Serif" w:cs="Liberation Serif"/>
          <w:b/>
        </w:rPr>
        <w:t xml:space="preserve">Общие</w:t>
      </w:r>
      <w:r>
        <w:rPr>
          <w:rFonts w:ascii="Liberation Serif" w:hAnsi="Liberation Serif" w:eastAsia="Liberation Serif" w:cs="Liberation Serif"/>
          <w:b/>
        </w:rPr>
        <w:t xml:space="preserve"> </w:t>
      </w:r>
      <w:r>
        <w:rPr>
          <w:rFonts w:ascii="Liberation Serif" w:hAnsi="Liberation Serif" w:eastAsia="Liberation Serif" w:cs="Liberation Serif"/>
          <w:b/>
        </w:rPr>
        <w:t xml:space="preserve">положения</w:t>
      </w:r>
    </w:p>
    <w:p>
      <w:pPr>
        <w:pStyle w:val="af"/>
        <w:jc w:val="both"/>
        <w:rPr>
          <w:rFonts w:ascii="Liberation Serif" w:hAnsi="Liberation Serif" w:cs="Liberation Serif"/>
          <w:b/>
        </w:rPr>
      </w:pPr>
    </w:p>
    <w:p>
      <w:pPr>
        <w:pStyle w:val="af"/>
        <w:numPr>
          <w:numId w:val="2"/>
          <w:ilvl w:val="1"/>
        </w:numPr>
        <w:ind w:left="0" w:firstLine="720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Программа мероприятий по повышению качества обслуживания потребителей. (покупателей) (далее – Программа) предназначена для систематизации и комплексного внедрения предложений и инициативных решений в части повышения уровня клиентоориентированности, построе</w:t>
      </w:r>
      <w:r>
        <w:rPr>
          <w:rFonts w:ascii="Liberation Serif" w:hAnsi="Liberation Serif" w:eastAsia="Liberation Serif" w:cs="Liberation Serif"/>
          <w:lang w:val="ru-RU"/>
        </w:rPr>
        <w:t xml:space="preserve">ния плана по их продвижению в Компании, определения показателей эффективности реализации Программы согласно данным предложениям, обозначения необходимого объема финансирования, контроля реализации предложений по повышению клиентоориентированности и оценки </w:t>
      </w:r>
      <w:r>
        <w:rPr>
          <w:rFonts w:ascii="Liberation Serif" w:hAnsi="Liberation Serif" w:eastAsia="Liberation Serif" w:cs="Liberation Serif"/>
          <w:lang w:val="ru-RU"/>
        </w:rPr>
        <w:t xml:space="preserve">показателей эффективности осуществления Программы. </w:t>
      </w:r>
    </w:p>
    <w:p>
      <w:pPr>
        <w:pStyle w:val="af"/>
        <w:numPr>
          <w:numId w:val="2"/>
          <w:ilvl w:val="1"/>
        </w:numPr>
        <w:ind w:left="0" w:firstLine="720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Программа разработана на основании Постановления Правительства РФ от 4 мая 2012 г. № 442 (далее – ПП РФ № 442), согласно которым на гарантирующего поставщика возлагается ряд обязательств в части обслужива</w:t>
      </w:r>
      <w:r>
        <w:rPr>
          <w:rFonts w:ascii="Liberation Serif" w:hAnsi="Liberation Serif" w:eastAsia="Liberation Serif" w:cs="Liberation Serif"/>
          <w:lang w:val="ru-RU"/>
        </w:rPr>
        <w:t xml:space="preserve">ния клиентов. Гарантирующий поставщик в целях обеспечения качественного и своевременного обслуживания потребителей (покупателей) обязан внедрить Программу мероприятий по повышению качества обслуживания потребителей (покупателей). </w:t>
      </w:r>
    </w:p>
    <w:p>
      <w:pPr>
        <w:pStyle w:val="af"/>
        <w:numPr>
          <w:numId w:val="2"/>
          <w:ilvl w:val="1"/>
        </w:numPr>
        <w:ind w:left="0" w:firstLine="720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Компания ежегодно в 1 ква</w:t>
      </w:r>
      <w:r>
        <w:rPr>
          <w:rFonts w:ascii="Liberation Serif" w:hAnsi="Liberation Serif" w:eastAsia="Liberation Serif" w:cs="Liberation Serif"/>
          <w:lang w:val="ru-RU"/>
        </w:rPr>
        <w:t xml:space="preserve">ртале следующего за истекшим годом, публикует на своем официальном сайте перечень мероприятий, включенных в Программу и выполненных в текущем году (или указание на их отсутствие и причины невыполнения).</w:t>
      </w:r>
    </w:p>
    <w:p>
      <w:pPr>
        <w:pStyle w:val="af"/>
        <w:jc w:val="both"/>
        <w:rPr>
          <w:rFonts w:ascii="Liberation Serif" w:hAnsi="Liberation Serif" w:cs="Liberation Serif"/>
          <w:lang w:val="ru-RU"/>
        </w:rPr>
      </w:pPr>
    </w:p>
    <w:p>
      <w:pPr>
        <w:pStyle w:val="af"/>
        <w:numPr>
          <w:numId w:val="2"/>
          <w:ilvl w:val="0"/>
        </w:numPr>
        <w:ind w:left="0" w:firstLine="709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eastAsia="Liberation Serif" w:cs="Liberation Serif"/>
          <w:b/>
          <w:lang w:val="ru-RU"/>
        </w:rPr>
        <w:t xml:space="preserve">Цели и задачи программы</w:t>
      </w:r>
    </w:p>
    <w:p>
      <w:pPr>
        <w:pStyle w:val="af"/>
        <w:ind w:left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eastAsia="Liberation Serif" w:cs="Liberation Serif"/>
          <w:lang w:val="ru-RU"/>
        </w:rPr>
        <w:t xml:space="preserve">Цели:</w:t>
      </w:r>
    </w:p>
    <w:p>
      <w:pPr>
        <w:pStyle w:val="af"/>
        <w:numPr>
          <w:numId w:val="39"/>
          <w:ilvl w:val="0"/>
        </w:numPr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повышение лояльности клиентов за счет повышения качества обслуживания;</w:t>
      </w:r>
    </w:p>
    <w:p>
      <w:pPr>
        <w:pStyle w:val="af"/>
        <w:numPr>
          <w:numId w:val="39"/>
          <w:ilvl w:val="0"/>
        </w:numPr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обеспечение высокого уровня удовлетворенности клиентов по всем показателям оценки уровня удовлетворенности клиентов качеством обслуживания (далее – Оценка);</w:t>
      </w:r>
    </w:p>
    <w:p>
      <w:pPr>
        <w:pStyle w:val="af"/>
        <w:numPr>
          <w:numId w:val="39"/>
          <w:ilvl w:val="0"/>
        </w:numPr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обеспечение эффективной обра</w:t>
      </w:r>
      <w:r>
        <w:rPr>
          <w:rFonts w:ascii="Liberation Serif" w:hAnsi="Liberation Serif" w:eastAsia="Liberation Serif" w:cs="Liberation Serif"/>
          <w:lang w:val="ru-RU"/>
        </w:rPr>
        <w:t xml:space="preserve">тной связи с клиентами для усовершенствования и оптимизации действующих механизмов взаимодействия и формирования новых решений.</w:t>
      </w:r>
    </w:p>
    <w:p>
      <w:pPr>
        <w:pStyle w:val="af"/>
        <w:ind w:left="0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Задачи: </w:t>
      </w:r>
    </w:p>
    <w:p>
      <w:pPr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Для реализации поставленных целей необходимо решить следующие задачи:</w:t>
      </w:r>
    </w:p>
    <w:p>
      <w:pPr>
        <w:pStyle w:val="af"/>
        <w:numPr>
          <w:numId w:val="38"/>
          <w:ilvl w:val="0"/>
        </w:numPr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формирование и реализация мероприятий на основани</w:t>
      </w:r>
      <w:r>
        <w:rPr>
          <w:rFonts w:ascii="Liberation Serif" w:hAnsi="Liberation Serif" w:eastAsia="Liberation Serif" w:cs="Liberation Serif"/>
          <w:lang w:val="ru-RU"/>
        </w:rPr>
        <w:t xml:space="preserve">и данных, полученных в ходе оперативной и комплексной оценки уровня удовлетворенности клиентов качеством обслуживания;</w:t>
      </w:r>
    </w:p>
    <w:p>
      <w:pPr>
        <w:pStyle w:val="af"/>
        <w:numPr>
          <w:numId w:val="38"/>
          <w:ilvl w:val="0"/>
        </w:numPr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формирование и реализация мероприятий по повышению качества очного и заочного (интерактивного, дистанционного) обслуживания;</w:t>
      </w:r>
    </w:p>
    <w:p>
      <w:pPr>
        <w:pStyle w:val="af"/>
        <w:numPr>
          <w:numId w:val="38"/>
          <w:ilvl w:val="0"/>
        </w:numPr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контроль исп</w:t>
      </w:r>
      <w:r>
        <w:rPr>
          <w:rFonts w:ascii="Liberation Serif" w:hAnsi="Liberation Serif" w:eastAsia="Liberation Serif" w:cs="Liberation Serif"/>
          <w:lang w:val="ru-RU"/>
        </w:rPr>
        <w:t xml:space="preserve">олнения требований Стандарта обслуживания клиентов;</w:t>
      </w:r>
    </w:p>
    <w:p>
      <w:pPr>
        <w:pStyle w:val="af"/>
        <w:numPr>
          <w:numId w:val="38"/>
          <w:ilvl w:val="0"/>
        </w:numPr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эффективное использование каналов коммуникации и обеспечение клиентов удобной коммуникацией с Компанией благодаря созданию и развитию цифровых сервисов.</w:t>
      </w:r>
    </w:p>
    <w:p>
      <w:pPr>
        <w:pStyle w:val="af"/>
        <w:jc w:val="both"/>
        <w:rPr>
          <w:rFonts w:ascii="Liberation Serif" w:hAnsi="Liberation Serif" w:cs="Liberation Serif"/>
          <w:lang w:val="ru-RU"/>
        </w:rPr>
      </w:pPr>
    </w:p>
    <w:p>
      <w:pPr>
        <w:pStyle w:val="af"/>
        <w:numPr>
          <w:numId w:val="2"/>
          <w:ilvl w:val="0"/>
        </w:numPr>
        <w:ind w:left="709" w:firstLine="0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eastAsia="Liberation Serif" w:cs="Liberation Serif"/>
          <w:b/>
        </w:rPr>
        <w:t xml:space="preserve">Анализ</w:t>
      </w:r>
      <w:r>
        <w:rPr>
          <w:rFonts w:ascii="Liberation Serif" w:hAnsi="Liberation Serif" w:eastAsia="Liberation Serif" w:cs="Liberation Serif"/>
          <w:b/>
        </w:rPr>
        <w:t xml:space="preserve"> </w:t>
      </w:r>
      <w:r>
        <w:rPr>
          <w:rFonts w:ascii="Liberation Serif" w:hAnsi="Liberation Serif" w:eastAsia="Liberation Serif" w:cs="Liberation Serif"/>
          <w:b/>
        </w:rPr>
        <w:t xml:space="preserve">текущего</w:t>
      </w:r>
      <w:r>
        <w:rPr>
          <w:rFonts w:ascii="Liberation Serif" w:hAnsi="Liberation Serif" w:eastAsia="Liberation Serif" w:cs="Liberation Serif"/>
          <w:b/>
        </w:rPr>
        <w:t xml:space="preserve"> </w:t>
      </w:r>
      <w:r>
        <w:rPr>
          <w:rFonts w:ascii="Liberation Serif" w:hAnsi="Liberation Serif" w:eastAsia="Liberation Serif" w:cs="Liberation Serif"/>
          <w:b/>
        </w:rPr>
        <w:t xml:space="preserve">состояния</w:t>
      </w:r>
    </w:p>
    <w:p>
      <w:pPr>
        <w:pStyle w:val="af"/>
        <w:ind w:left="0" w:firstLine="708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В Обществе организовано обслуживание клиентов – физических лиц (ФЛ, В2С) и юридических лиц (ЮЛ, В2В) в режиме 24/7 с распределением нагрузки по очным и дистанционным каналам коммуникаций.</w:t>
      </w:r>
    </w:p>
    <w:p>
      <w:pPr>
        <w:ind w:firstLine="720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В целях очного обслуживания клиентов в ПАО «Саратовэнерго» функциони</w:t>
      </w:r>
      <w:r>
        <w:rPr>
          <w:rFonts w:ascii="Liberation Serif" w:hAnsi="Liberation Serif" w:eastAsia="Liberation Serif" w:cs="Liberation Serif"/>
          <w:lang w:val="ru-RU"/>
        </w:rPr>
        <w:t xml:space="preserve">руют 8 центров обслуживания физических лиц, 20 групп по работе с потребителями физическими лицами и 7 направлений по договорам и клиентскому сервису юридических лиц в межрайонных отделениях.</w:t>
      </w:r>
    </w:p>
    <w:p>
      <w:pPr>
        <w:ind w:firstLine="720"/>
        <w:jc w:val="both"/>
        <w:rPr>
          <w:rFonts w:ascii="Liberation Serif" w:hAnsi="Liberation Serif" w:cs="Liberation Serif"/>
          <w:color w:val="000000"/>
          <w:lang w:val="ru-RU"/>
        </w:rPr>
      </w:pPr>
      <w:r>
        <w:rPr>
          <w:rFonts w:ascii="Liberation Serif" w:hAnsi="Liberation Serif" w:eastAsia="Liberation Serif" w:cs="Liberation Serif"/>
          <w:color w:val="000000"/>
          <w:lang w:val="ru-RU" w:eastAsia="ru-RU"/>
        </w:rPr>
        <w:t xml:space="preserve">Перечень офисов обслуживания клиентов ПАО «Саратовэнерго» размеще</w:t>
      </w:r>
      <w:r>
        <w:rPr>
          <w:rFonts w:ascii="Liberation Serif" w:hAnsi="Liberation Serif" w:eastAsia="Liberation Serif" w:cs="Liberation Serif"/>
          <w:color w:val="000000"/>
          <w:lang w:val="ru-RU" w:eastAsia="ru-RU"/>
        </w:rPr>
        <w:t xml:space="preserve">н на сайте в разделе контакты: </w:t>
      </w:r>
      <w:hyperlink r:id="rId12" w:tooltip="https://www.saratovenergo.ru/about/contacts/territorial-divisions/" w:history="1">
        <w:r>
          <w:rPr>
            <w:rStyle w:val="afe"/>
            <w:rFonts w:ascii="Liberation Serif" w:hAnsi="Liberation Serif" w:eastAsia="Liberation Serif" w:cs="Liberation Serif"/>
            <w:lang w:val="ru-RU" w:eastAsia="ru-RU"/>
          </w:rPr>
          <w:t xml:space="preserve">https://www.saratovenergo.ru/about/contacts/territorial-divisions/</w:t>
        </w:r>
      </w:hyperlink>
    </w:p>
    <w:p>
      <w:pPr>
        <w:contextualSpacing/>
        <w:jc w:val="both"/>
        <w:rPr>
          <w:rFonts w:ascii="Liberation Serif" w:hAnsi="Liberation Serif" w:cs="Liberation Serif"/>
          <w:color w:val="000000" w:themeColor="text1"/>
          <w:lang w:val="ru-RU"/>
        </w:rPr>
      </w:pPr>
    </w:p>
    <w:p>
      <w:pPr>
        <w:spacing w:after="160" w:line="259" w:lineRule="auto"/>
        <w:ind w:firstLine="709"/>
        <w:jc w:val="both"/>
        <w:rPr>
          <w:rFonts w:ascii="Liberation Serif" w:hAnsi="Liberation Serif" w:cs="Liberation Serif"/>
          <w:color w:val="000000" w:themeColor="text1"/>
          <w:lang w:val="ru-RU"/>
        </w:rPr>
      </w:pPr>
      <w:r>
        <w:rPr>
          <w:rFonts w:ascii="Liberation Serif" w:hAnsi="Liberation Serif" w:cs="Liberation Serif" w:eastAsiaTheme="minorHAnsi"/>
          <w:color w:val="000000" w:themeColor="text1"/>
          <w:lang w:val="ru-RU"/>
        </w:rPr>
        <w:t xml:space="preserve">В целях дистанционного обслуживания </w:t>
      </w:r>
      <w:r>
        <w:rPr>
          <w:rFonts w:ascii="Liberation Serif" w:hAnsi="Liberation Serif" w:eastAsia="Liberation Serif" w:cs="Liberation Serif"/>
          <w:color w:val="000000" w:themeColor="text1"/>
          <w:lang w:val="ru-RU"/>
        </w:rPr>
        <w:t xml:space="preserve">клиентов Общества </w:t>
      </w:r>
      <w:r>
        <w:rPr>
          <w:rFonts w:ascii="Liberation Serif" w:hAnsi="Liberation Serif" w:cs="Liberation Serif" w:eastAsiaTheme="minorHAnsi"/>
          <w:color w:val="000000" w:themeColor="text1"/>
          <w:lang w:val="ru-RU"/>
        </w:rPr>
        <w:t xml:space="preserve">функционируют следующие интерактивные сервисы: </w:t>
      </w:r>
    </w:p>
    <w:p>
      <w:pPr>
        <w:pStyle w:val="af"/>
        <w:numPr>
          <w:numId w:val="5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b/>
          <w:lang w:val="ru-RU"/>
        </w:rPr>
        <w:t xml:space="preserve">Официальный сайт Общества</w:t>
      </w:r>
    </w:p>
    <w:p>
      <w:pPr>
        <w:pStyle w:val="af"/>
        <w:numPr>
          <w:numId w:val="4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организовано круглосуточное обслуживание клиентов посредством сайта; </w:t>
      </w:r>
    </w:p>
    <w:p>
      <w:pPr>
        <w:pStyle w:val="af"/>
        <w:numPr>
          <w:numId w:val="4"/>
          <w:ilvl w:val="0"/>
        </w:numPr>
        <w:spacing w:after="160" w:line="259" w:lineRule="auto"/>
        <w:ind w:left="426" w:hanging="43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сайт адаптирован для просмотра с мобильных устройств;</w:t>
      </w:r>
    </w:p>
    <w:p>
      <w:pPr>
        <w:pStyle w:val="af"/>
        <w:numPr>
          <w:numId w:val="4"/>
          <w:ilvl w:val="0"/>
        </w:numPr>
        <w:spacing w:after="160" w:line="259" w:lineRule="auto"/>
        <w:ind w:left="426" w:hanging="43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внед</w:t>
      </w:r>
      <w:r>
        <w:rPr>
          <w:rFonts w:ascii="Liberation Serif" w:hAnsi="Liberation Serif" w:cs="Liberation Serif" w:eastAsiaTheme="minorHAnsi"/>
          <w:lang w:val="ru-RU"/>
        </w:rPr>
        <w:t xml:space="preserve">рена кнопка для перехода на версию сайта для слабовидящих, которая располагается на главной странице официального сайта;</w:t>
      </w:r>
    </w:p>
    <w:p>
      <w:pPr>
        <w:pStyle w:val="af"/>
        <w:numPr>
          <w:numId w:val="4"/>
          <w:ilvl w:val="0"/>
        </w:numPr>
        <w:spacing w:after="160" w:line="259" w:lineRule="auto"/>
        <w:ind w:left="426" w:hanging="436"/>
        <w:jc w:val="both"/>
        <w:rPr>
          <w:rFonts w:ascii="Liberation Serif" w:hAnsi="Liberation Serif" w:cs="Liberation Serif"/>
          <w:color w:val="a5a5a5" w:themeColor="accent1" w:themeShade="B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созданы разделы со способами решения вопросов и размещением информации в соответствии с требованиями действующего законодательства.</w:t>
      </w:r>
    </w:p>
    <w:p>
      <w:pPr>
        <w:numPr>
          <w:numId w:val="15"/>
          <w:ilvl w:val="0"/>
        </w:numPr>
        <w:ind w:left="426" w:hanging="426"/>
        <w:contextualSpacing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внедрен сервис «Чат» на официальном сайте Общества, который позволяет круглосуточно (ежедневно, без выходных и праздничных дней) в режиме онлайн-обслуживать клиентов-физических лиц. Виртуальный собеседник обеспечивает диалог с клиентом по основным темам ча</w:t>
      </w:r>
      <w:r>
        <w:rPr>
          <w:rFonts w:ascii="Liberation Serif" w:hAnsi="Liberation Serif" w:eastAsia="Liberation Serif" w:cs="Liberation Serif"/>
          <w:lang w:val="ru-RU"/>
        </w:rPr>
        <w:t xml:space="preserve">сто задаваемых вопросов, в т.ч. информирование о тарифах на услуги, о балансе счета, прием показаний приборов учета электрической энергии, порядок заключения/переоформления договора энергоснабжения и т.д.</w:t>
      </w:r>
    </w:p>
    <w:p>
      <w:pPr>
        <w:numPr>
          <w:numId w:val="15"/>
          <w:ilvl w:val="0"/>
        </w:numPr>
        <w:ind w:left="426" w:hanging="426"/>
        <w:contextualSpacing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внедрен сервис онлайн-формы «быстрой оплаты» без ав</w:t>
      </w:r>
      <w:r>
        <w:rPr>
          <w:rFonts w:ascii="Liberation Serif" w:hAnsi="Liberation Serif" w:eastAsia="Liberation Serif" w:cs="Liberation Serif"/>
          <w:lang w:val="ru-RU"/>
        </w:rPr>
        <w:t xml:space="preserve">торизации (приём платежей без комиссии);</w:t>
      </w:r>
    </w:p>
    <w:p>
      <w:pPr>
        <w:numPr>
          <w:numId w:val="15"/>
          <w:ilvl w:val="0"/>
        </w:numPr>
        <w:ind w:left="426" w:hanging="426"/>
        <w:contextualSpacing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внедрен сервис онлайн-формы «Предварительная запись на очный приём»;</w:t>
      </w:r>
    </w:p>
    <w:p>
      <w:pPr>
        <w:numPr>
          <w:numId w:val="15"/>
          <w:ilvl w:val="0"/>
        </w:numPr>
        <w:ind w:left="426" w:hanging="426"/>
        <w:contextualSpacing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внедрен сервис онлайн-формы «Заказ коммерческих услуг».</w:t>
      </w:r>
    </w:p>
    <w:p>
      <w:pPr>
        <w:pStyle w:val="af"/>
        <w:spacing w:after="160" w:line="259" w:lineRule="auto"/>
        <w:ind w:left="426" w:hanging="436"/>
        <w:jc w:val="both"/>
        <w:rPr>
          <w:rFonts w:ascii="Liberation Serif" w:hAnsi="Liberation Serif" w:cs="Liberation Serif"/>
          <w:color w:val="a5a5a5" w:themeColor="accent1" w:themeShade="BF"/>
          <w:lang w:val="ru-RU"/>
        </w:rPr>
      </w:pPr>
    </w:p>
    <w:p>
      <w:pPr>
        <w:pStyle w:val="af"/>
        <w:numPr>
          <w:numId w:val="6"/>
          <w:ilvl w:val="0"/>
        </w:numPr>
        <w:spacing w:after="160" w:line="259" w:lineRule="auto"/>
        <w:ind w:left="426" w:hanging="43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b/>
          <w:lang w:val="ru-RU"/>
        </w:rPr>
        <w:t xml:space="preserve">Личный кабинет клиента (ЛКК)</w:t>
      </w:r>
    </w:p>
    <w:p>
      <w:pPr>
        <w:pStyle w:val="af"/>
        <w:numPr>
          <w:numId w:val="7"/>
          <w:ilvl w:val="0"/>
        </w:numPr>
        <w:spacing w:after="160" w:line="259" w:lineRule="auto"/>
        <w:ind w:left="426" w:hanging="43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Реализован на сайте Общества ЛКК ФЛ и ЛКК ЮЛ;</w:t>
      </w:r>
    </w:p>
    <w:p>
      <w:pPr>
        <w:pStyle w:val="af"/>
        <w:numPr>
          <w:numId w:val="7"/>
          <w:ilvl w:val="0"/>
        </w:numPr>
        <w:spacing w:after="160" w:line="259" w:lineRule="auto"/>
        <w:ind w:left="426" w:hanging="43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Реализован в мобильном приложении ЛКК ФЛ «Мой Саратовэнерго» и ЛКК ЮЛ «Саратовэнерго»;</w:t>
      </w:r>
    </w:p>
    <w:p>
      <w:pPr>
        <w:pStyle w:val="af"/>
        <w:numPr>
          <w:numId w:val="7"/>
          <w:ilvl w:val="0"/>
        </w:numPr>
        <w:spacing w:after="160" w:line="259" w:lineRule="auto"/>
        <w:ind w:left="426" w:hanging="43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Предусмотрено размещение информации о перебоях в работе ЛКК;</w:t>
      </w:r>
    </w:p>
    <w:p>
      <w:pPr>
        <w:pStyle w:val="af"/>
        <w:numPr>
          <w:numId w:val="7"/>
          <w:ilvl w:val="0"/>
        </w:numPr>
        <w:spacing w:after="160" w:line="259" w:lineRule="auto"/>
        <w:ind w:left="426" w:hanging="43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Размещена следующая информация по договору энергоснабжения: реквизиты договора; номер лицевого счета; цена (</w:t>
      </w:r>
      <w:r>
        <w:rPr>
          <w:rFonts w:ascii="Liberation Serif" w:hAnsi="Liberation Serif" w:cs="Liberation Serif" w:eastAsiaTheme="minorHAnsi"/>
          <w:lang w:val="ru-RU"/>
        </w:rPr>
        <w:t xml:space="preserve">тариф) по договору; начисления за период; задолженность по оплате электрической энергии; сведения о расчетных (контрольных) приборах учета;</w:t>
      </w:r>
    </w:p>
    <w:p>
      <w:pPr>
        <w:pStyle w:val="af"/>
        <w:numPr>
          <w:numId w:val="17"/>
          <w:ilvl w:val="0"/>
        </w:numPr>
        <w:spacing w:after="160" w:line="259" w:lineRule="auto"/>
        <w:ind w:left="426" w:hanging="436"/>
        <w:jc w:val="both"/>
        <w:rPr>
          <w:rFonts w:ascii="Liberation Serif" w:hAnsi="Liberation Serif" w:cs="Liberation Serif" w:eastAsiaTheme="minorHAnsi"/>
        </w:rPr>
      </w:pPr>
      <w:r>
        <w:rPr>
          <w:rFonts w:ascii="Liberation Serif" w:hAnsi="Liberation Serif" w:cs="Liberation Serif" w:eastAsiaTheme="minorHAnsi"/>
          <w:lang w:val="ru-RU"/>
        </w:rPr>
        <w:t xml:space="preserve">Сохраняется историчность обращений;</w:t>
      </w:r>
    </w:p>
    <w:p>
      <w:pPr>
        <w:pStyle w:val="af"/>
        <w:numPr>
          <w:numId w:val="17"/>
          <w:ilvl w:val="0"/>
        </w:numPr>
        <w:spacing w:after="160" w:line="259" w:lineRule="auto"/>
        <w:ind w:left="426" w:hanging="43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Реализована возможность регистрации в сервисе для подачи обращения на тему «Закл</w:t>
      </w:r>
      <w:r>
        <w:rPr>
          <w:rFonts w:ascii="Liberation Serif" w:hAnsi="Liberation Serif" w:cs="Liberation Serif" w:eastAsiaTheme="minorHAnsi"/>
          <w:lang w:val="ru-RU"/>
        </w:rPr>
        <w:t xml:space="preserve">ючение договора энергоснабжения».</w:t>
      </w:r>
    </w:p>
    <w:p>
      <w:pPr>
        <w:pStyle w:val="af"/>
        <w:spacing w:after="160" w:line="259" w:lineRule="auto"/>
        <w:ind w:left="426"/>
        <w:jc w:val="both"/>
        <w:rPr>
          <w:rFonts w:ascii="Liberation Serif" w:hAnsi="Liberation Serif" w:cs="Liberation Serif"/>
          <w:lang w:val="ru-RU"/>
        </w:rPr>
      </w:pPr>
    </w:p>
    <w:p>
      <w:pPr>
        <w:pStyle w:val="af"/>
        <w:numPr>
          <w:numId w:val="8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  <w:b/>
          <w:lang w:val="ru-RU"/>
        </w:rPr>
      </w:pPr>
      <w:r>
        <w:rPr>
          <w:rFonts w:ascii="Liberation Serif" w:hAnsi="Liberation Serif" w:cs="Liberation Serif" w:eastAsiaTheme="minorHAnsi"/>
          <w:b/>
          <w:lang w:val="ru-RU"/>
        </w:rPr>
        <w:t xml:space="preserve">Интерактивная система голосового самообслуживания (</w:t>
      </w:r>
      <w:r>
        <w:rPr>
          <w:rFonts w:ascii="Liberation Serif" w:hAnsi="Liberation Serif" w:cs="Liberation Serif" w:eastAsiaTheme="minorHAnsi"/>
          <w:b/>
        </w:rPr>
        <w:t xml:space="preserve">IVR</w:t>
      </w:r>
      <w:r>
        <w:rPr>
          <w:rFonts w:ascii="Liberation Serif" w:hAnsi="Liberation Serif" w:cs="Liberation Serif" w:eastAsiaTheme="minorHAnsi"/>
          <w:b/>
          <w:lang w:val="ru-RU"/>
        </w:rPr>
        <w:t xml:space="preserve">) для клиентов-физических лиц</w:t>
      </w:r>
    </w:p>
    <w:p>
      <w:pPr>
        <w:spacing w:after="160" w:line="259" w:lineRule="auto"/>
        <w:ind w:firstLine="42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Организовано круглосуточное (ежедневно, без выходных и праздничных дней) обслуживание клиентов с использованием </w:t>
      </w:r>
      <w:r>
        <w:rPr>
          <w:rFonts w:ascii="Liberation Serif" w:hAnsi="Liberation Serif" w:cs="Liberation Serif" w:eastAsiaTheme="minorHAnsi"/>
        </w:rPr>
        <w:t xml:space="preserve">IVR</w:t>
      </w:r>
      <w:r>
        <w:rPr>
          <w:rFonts w:ascii="Liberation Serif" w:hAnsi="Liberation Serif" w:cs="Liberation Serif" w:eastAsiaTheme="minorHAnsi"/>
          <w:lang w:val="ru-RU"/>
        </w:rPr>
        <w:t xml:space="preserve"> с информированием по </w:t>
      </w:r>
      <w:r>
        <w:rPr>
          <w:rFonts w:ascii="Liberation Serif" w:hAnsi="Liberation Serif" w:cs="Liberation Serif" w:eastAsiaTheme="minorHAnsi"/>
          <w:lang w:val="ru-RU"/>
        </w:rPr>
        <w:t xml:space="preserve">следующим темам:</w:t>
      </w:r>
    </w:p>
    <w:p>
      <w:pPr>
        <w:pStyle w:val="af"/>
        <w:numPr>
          <w:numId w:val="9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о сумме задолженности по договору энергоснабжения;</w:t>
      </w:r>
    </w:p>
    <w:p>
      <w:pPr>
        <w:pStyle w:val="af"/>
        <w:numPr>
          <w:numId w:val="9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lang w:val="ru-RU"/>
        </w:rPr>
        <w:t xml:space="preserve">о тарифах;</w:t>
      </w:r>
    </w:p>
    <w:p>
      <w:pPr>
        <w:pStyle w:val="af"/>
        <w:numPr>
          <w:numId w:val="9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прием показаний приборов учета электрической энергии;</w:t>
      </w:r>
    </w:p>
    <w:p>
      <w:pPr>
        <w:pStyle w:val="af"/>
        <w:numPr>
          <w:numId w:val="9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lang w:val="ru-RU"/>
        </w:rPr>
        <w:t xml:space="preserve">о балансе счета.</w:t>
      </w:r>
    </w:p>
    <w:p>
      <w:pPr>
        <w:pStyle w:val="af"/>
        <w:numPr>
          <w:numId w:val="9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</w:rPr>
      </w:pPr>
    </w:p>
    <w:p>
      <w:pPr>
        <w:pStyle w:val="af"/>
        <w:numPr>
          <w:numId w:val="10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b/>
          <w:lang w:val="ru-RU"/>
        </w:rPr>
        <w:t xml:space="preserve">А</w:t>
      </w:r>
      <w:r>
        <w:rPr>
          <w:rFonts w:ascii="Liberation Serif" w:hAnsi="Liberation Serif" w:cs="Liberation Serif" w:eastAsiaTheme="minorHAnsi"/>
          <w:b/>
          <w:lang w:val="ru-RU"/>
        </w:rPr>
        <w:t xml:space="preserve">ккаунты в социальных сетях</w:t>
      </w:r>
      <w:r>
        <w:rPr>
          <w:rFonts w:ascii="Liberation Serif" w:hAnsi="Liberation Serif" w:cs="Liberation Serif" w:eastAsiaTheme="minorHAnsi"/>
          <w:lang w:val="ru-RU"/>
        </w:rPr>
        <w:t xml:space="preserve"> (ВК, OK) </w:t>
      </w:r>
    </w:p>
    <w:p>
      <w:pPr>
        <w:pStyle w:val="af"/>
        <w:numPr>
          <w:numId w:val="16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  <w:color w:val="000000" w:themeColor="text1"/>
          <w:lang w:val="ru-RU"/>
        </w:rPr>
      </w:pPr>
      <w:r>
        <w:rPr>
          <w:rFonts w:ascii="Liberation Serif" w:hAnsi="Liberation Serif" w:cs="Liberation Serif" w:eastAsiaTheme="minorHAnsi"/>
          <w:lang w:val="ru-RU"/>
        </w:rPr>
        <w:t xml:space="preserve">информирование клиентов по актуальным вопросам и о новостях Компании, в том числе организованы публикации не реже 2-х раз в месяц о необходимости передачи показаний приборов учета, о способах и сроках оплаты, о проводимых акциях и пр</w:t>
      </w:r>
      <w:r>
        <w:rPr>
          <w:rFonts w:ascii="Liberation Serif" w:hAnsi="Liberation Serif" w:eastAsia="Liberation Serif" w:cs="Liberation Serif"/>
          <w:color w:val="111111"/>
          <w:lang w:val="ru-RU"/>
        </w:rPr>
        <w:t xml:space="preserve">.</w:t>
      </w:r>
      <w:r>
        <w:rPr>
          <w:rFonts w:ascii="Liberation Serif" w:hAnsi="Liberation Serif" w:cs="Liberation Serif" w:eastAsiaTheme="minorHAnsi"/>
          <w:color w:val="000000" w:themeColor="text1"/>
          <w:lang w:val="ru-RU"/>
        </w:rPr>
        <w:t xml:space="preserve"> (с </w:t>
      </w:r>
      <w:r>
        <w:rPr>
          <w:rFonts w:ascii="Liberation Serif" w:hAnsi="Liberation Serif" w:eastAsia="Liberation Serif" w:cs="Liberation Serif"/>
          <w:color w:val="000000" w:themeColor="text1"/>
          <w:lang w:val="ru-RU"/>
        </w:rPr>
        <w:t xml:space="preserve">понедельника по пятницу с 08:00 до 17:00, перерыв с 12:00 до 13:00; выходные – суббота, воскресенье).</w:t>
      </w:r>
    </w:p>
    <w:p>
      <w:pPr>
        <w:pStyle w:val="af"/>
        <w:spacing w:after="160" w:line="259" w:lineRule="auto"/>
        <w:ind w:left="426"/>
        <w:jc w:val="both"/>
        <w:rPr>
          <w:rFonts w:ascii="Liberation Serif" w:hAnsi="Liberation Serif" w:cs="Liberation Serif"/>
          <w:lang w:val="ru-RU"/>
        </w:rPr>
      </w:pPr>
    </w:p>
    <w:p>
      <w:pPr>
        <w:pStyle w:val="af"/>
        <w:numPr>
          <w:numId w:val="12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  <w:b/>
          <w:lang w:val="ru-RU"/>
        </w:rPr>
      </w:pPr>
      <w:r>
        <w:rPr>
          <w:rFonts w:ascii="Liberation Serif" w:hAnsi="Liberation Serif" w:cs="Liberation Serif" w:eastAsiaTheme="minorHAnsi"/>
          <w:b/>
          <w:lang w:val="ru-RU"/>
        </w:rPr>
        <w:t xml:space="preserve">Дистанционное обслуживание клиентов организовано посредством: </w:t>
      </w:r>
    </w:p>
    <w:p>
      <w:pPr>
        <w:pStyle w:val="af"/>
        <w:numPr>
          <w:numId w:val="13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b/>
          <w:lang w:val="ru-RU"/>
        </w:rPr>
        <w:t xml:space="preserve">электронной почты </w:t>
      </w:r>
      <w:r>
        <w:rPr>
          <w:rFonts w:ascii="Liberation Serif" w:hAnsi="Liberation Serif" w:cs="Liberation Serif" w:eastAsiaTheme="minorHAnsi"/>
          <w:lang w:val="ru-RU"/>
        </w:rPr>
        <w:t xml:space="preserve">для физических лиц: </w:t>
      </w:r>
      <w:hyperlink r:id="rId13" w:tooltip="mailto:se_support@sarenergo.ru" w:history="1">
        <w:r>
          <w:rPr>
            <w:rStyle w:val="afe"/>
            <w:rFonts w:ascii="Liberation Serif" w:hAnsi="Liberation Serif" w:eastAsia="Liberation Serif" w:cs="Liberation Serif"/>
          </w:rPr>
          <w:t xml:space="preserve">se</w:t>
        </w:r>
        <w:r>
          <w:rPr>
            <w:rStyle w:val="afe"/>
            <w:rFonts w:ascii="Liberation Serif" w:hAnsi="Liberation Serif" w:eastAsia="Liberation Serif" w:cs="Liberation Serif"/>
            <w:lang w:val="ru-RU"/>
          </w:rPr>
          <w:t xml:space="preserve">_</w:t>
        </w:r>
        <w:r>
          <w:rPr>
            <w:rStyle w:val="afe"/>
            <w:rFonts w:ascii="Liberation Serif" w:hAnsi="Liberation Serif" w:eastAsia="Liberation Serif" w:cs="Liberation Serif"/>
          </w:rPr>
          <w:t xml:space="preserve">support</w:t>
        </w:r>
        <w:r>
          <w:rPr>
            <w:rStyle w:val="afe"/>
            <w:rFonts w:ascii="Liberation Serif" w:hAnsi="Liberation Serif" w:eastAsia="Liberation Serif" w:cs="Liberation Serif"/>
            <w:lang w:val="ru-RU"/>
          </w:rPr>
          <w:t xml:space="preserve">@</w:t>
        </w:r>
        <w:r>
          <w:rPr>
            <w:rStyle w:val="afe"/>
            <w:rFonts w:ascii="Liberation Serif" w:hAnsi="Liberation Serif" w:eastAsia="Liberation Serif" w:cs="Liberation Serif"/>
          </w:rPr>
          <w:t xml:space="preserve">sarenergo</w:t>
        </w:r>
        <w:r>
          <w:rPr>
            <w:rStyle w:val="afe"/>
            <w:rFonts w:ascii="Liberation Serif" w:hAnsi="Liberation Serif" w:eastAsia="Liberation Serif" w:cs="Liberation Serif"/>
            <w:lang w:val="ru-RU"/>
          </w:rPr>
          <w:t xml:space="preserve">.</w:t>
        </w:r>
        <w:r>
          <w:rPr>
            <w:rStyle w:val="afe"/>
            <w:rFonts w:ascii="Liberation Serif" w:hAnsi="Liberation Serif" w:eastAsia="Liberation Serif" w:cs="Liberation Serif"/>
          </w:rPr>
          <w:t xml:space="preserve">ru</w:t>
        </w:r>
      </w:hyperlink>
      <w:r>
        <w:rPr>
          <w:rFonts w:ascii="Liberation Serif" w:hAnsi="Liberation Serif" w:eastAsia="Liberation Serif" w:cs="Liberation Serif"/>
          <w:lang w:val="ru-RU"/>
        </w:rPr>
        <w:t xml:space="preserve"> </w:t>
      </w:r>
      <w:r>
        <w:rPr>
          <w:rFonts w:ascii="Liberation Serif" w:hAnsi="Liberation Serif" w:cs="Liberation Serif" w:eastAsiaTheme="minorHAnsi"/>
          <w:color w:val="000000" w:themeColor="text1"/>
          <w:lang w:val="ru-RU"/>
        </w:rPr>
        <w:t xml:space="preserve">(с </w:t>
      </w:r>
      <w:r>
        <w:rPr>
          <w:rFonts w:ascii="Liberation Serif" w:hAnsi="Liberation Serif" w:eastAsia="Liberation Serif" w:cs="Liberation Serif"/>
          <w:color w:val="000000" w:themeColor="text1"/>
          <w:lang w:val="ru-RU"/>
        </w:rPr>
        <w:t xml:space="preserve">понедельника по пятницу с 08:00 до 17:00, перерыв с 12:00 до 13:00; выходные – суббота, воскресенье)</w:t>
      </w:r>
    </w:p>
    <w:p>
      <w:pPr>
        <w:pStyle w:val="af"/>
        <w:numPr>
          <w:numId w:val="13"/>
          <w:ilvl w:val="0"/>
        </w:numPr>
        <w:spacing w:after="160" w:line="259" w:lineRule="auto"/>
        <w:ind w:left="426" w:hanging="426"/>
        <w:jc w:val="both"/>
        <w:rPr>
          <w:rStyle w:val="afe"/>
          <w:rFonts w:ascii="Liberation Serif" w:hAnsi="Liberation Serif" w:cs="Liberation Serif"/>
          <w:sz w:val="21"/>
          <w:szCs w:val="21"/>
          <w:lang w:val="ru-RU"/>
        </w:rPr>
      </w:pPr>
      <w:r>
        <w:rPr>
          <w:rFonts w:ascii="Liberation Serif" w:hAnsi="Liberation Serif" w:cs="Liberation Serif" w:eastAsiaTheme="minorHAnsi"/>
          <w:b/>
          <w:lang w:val="ru-RU"/>
        </w:rPr>
        <w:t xml:space="preserve">электронной почты </w:t>
      </w:r>
      <w:r>
        <w:rPr>
          <w:rFonts w:ascii="Liberation Serif" w:hAnsi="Liberation Serif" w:eastAsia="Liberation Serif" w:cs="Liberation Serif"/>
          <w:lang w:val="ru-RU"/>
        </w:rPr>
        <w:t xml:space="preserve">для юридических лиц -</w:t>
      </w:r>
      <w:r>
        <w:rPr>
          <w:rFonts w:ascii="Liberation Serif" w:hAnsi="Liberation Serif" w:eastAsia="Liberation Serif" w:cs="Liberation Serif"/>
          <w:sz w:val="21"/>
          <w:szCs w:val="21"/>
          <w:lang w:val="ru-RU"/>
        </w:rPr>
        <w:t xml:space="preserve"> </w:t>
      </w:r>
      <w:r>
        <w:rPr>
          <w:rFonts w:ascii="Liberation Serif" w:hAnsi="Liberation Serif" w:cs="Liberation Serif" w:eastAsiaTheme="minorHAnsi"/>
          <w:lang w:val="ru-RU"/>
        </w:rPr>
        <w:t xml:space="preserve"> </w:t>
      </w:r>
      <w:hyperlink r:id="rId14" w:tooltip="mailto:office@sarenergo.ru" w:history="1">
        <w:r>
          <w:rPr>
            <w:rStyle w:val="afe"/>
            <w:rFonts w:ascii="Liberation Serif" w:hAnsi="Liberation Serif" w:eastAsia="Liberation Serif" w:cs="Liberation Serif"/>
          </w:rPr>
          <w:t xml:space="preserve">office</w:t>
        </w:r>
        <w:r>
          <w:rPr>
            <w:rStyle w:val="afe"/>
            <w:rFonts w:ascii="Liberation Serif" w:hAnsi="Liberation Serif" w:eastAsia="Liberation Serif" w:cs="Liberation Serif"/>
            <w:lang w:val="ru-RU"/>
          </w:rPr>
          <w:t xml:space="preserve">@</w:t>
        </w:r>
        <w:r>
          <w:rPr>
            <w:rStyle w:val="afe"/>
            <w:rFonts w:ascii="Liberation Serif" w:hAnsi="Liberation Serif" w:eastAsia="Liberation Serif" w:cs="Liberation Serif"/>
          </w:rPr>
          <w:t xml:space="preserve">sarenergo</w:t>
        </w:r>
        <w:r>
          <w:rPr>
            <w:rStyle w:val="afe"/>
            <w:rFonts w:ascii="Liberation Serif" w:hAnsi="Liberation Serif" w:eastAsia="Liberation Serif" w:cs="Liberation Serif"/>
            <w:lang w:val="ru-RU"/>
          </w:rPr>
          <w:t xml:space="preserve">.</w:t>
        </w:r>
        <w:r>
          <w:rPr>
            <w:rStyle w:val="afe"/>
            <w:rFonts w:ascii="Liberation Serif" w:hAnsi="Liberation Serif" w:eastAsia="Liberation Serif" w:cs="Liberation Serif"/>
          </w:rPr>
          <w:t xml:space="preserve">ru</w:t>
        </w:r>
      </w:hyperlink>
      <w:r>
        <w:rPr>
          <w:rFonts w:ascii="Liberation Serif" w:hAnsi="Liberation Serif" w:eastAsia="Liberation Serif" w:cs="Liberation Serif"/>
          <w:lang w:val="ru-RU"/>
        </w:rPr>
        <w:t xml:space="preserve"> </w:t>
      </w:r>
      <w:r>
        <w:rPr>
          <w:rFonts w:ascii="Liberation Serif" w:hAnsi="Liberation Serif" w:cs="Liberation Serif" w:eastAsiaTheme="minorHAnsi"/>
          <w:color w:val="000000" w:themeColor="text1"/>
          <w:lang w:val="ru-RU"/>
        </w:rPr>
        <w:t xml:space="preserve">(с </w:t>
      </w:r>
      <w:r>
        <w:rPr>
          <w:rFonts w:ascii="Liberation Serif" w:hAnsi="Liberation Serif" w:eastAsia="Liberation Serif" w:cs="Liberation Serif"/>
          <w:color w:val="000000" w:themeColor="text1"/>
          <w:lang w:val="ru-RU"/>
        </w:rPr>
        <w:t xml:space="preserve">понедельника по пятницу с 08:00 до 17:00, перерыв с 12:00 до 13:00; выходные – суббота, воскресенье)</w:t>
      </w:r>
    </w:p>
    <w:p>
      <w:pPr>
        <w:pStyle w:val="af"/>
        <w:numPr>
          <w:numId w:val="14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b/>
          <w:lang w:val="ru-RU"/>
        </w:rPr>
        <w:t xml:space="preserve">по телефону контактного </w:t>
      </w:r>
      <w:bookmarkStart w:id="0" w:name="_Hlk139361552"/>
      <w:r>
        <w:rPr>
          <w:rFonts w:ascii="Liberation Serif" w:hAnsi="Liberation Serif" w:cs="Liberation Serif" w:eastAsiaTheme="minorHAnsi"/>
          <w:b/>
          <w:lang w:val="ru-RU"/>
        </w:rPr>
        <w:t xml:space="preserve">центра </w:t>
      </w:r>
      <w:r>
        <w:rPr>
          <w:rFonts w:ascii="Liberation Serif" w:hAnsi="Liberation Serif" w:eastAsia="Liberation Serif" w:cs="Liberation Serif"/>
          <w:b/>
          <w:caps/>
          <w:lang w:val="ru-RU"/>
        </w:rPr>
        <w:t xml:space="preserve">8 (8452) 69-45-45</w:t>
      </w:r>
      <w:r>
        <w:rPr>
          <w:rFonts w:ascii="Liberation Serif" w:hAnsi="Liberation Serif" w:eastAsia="Liberation Serif" w:cs="Liberation Serif"/>
          <w:b/>
          <w:caps/>
          <w:sz w:val="32"/>
          <w:szCs w:val="32"/>
          <w:lang w:val="ru-RU"/>
        </w:rPr>
        <w:t xml:space="preserve"> </w:t>
      </w:r>
      <w:r>
        <w:rPr>
          <w:rFonts w:ascii="Liberation Serif" w:hAnsi="Liberation Serif" w:cs="Liberation Serif" w:eastAsiaTheme="minorHAnsi"/>
          <w:b/>
          <w:lang w:val="ru-RU"/>
        </w:rPr>
        <w:t xml:space="preserve">для физических лиц</w:t>
      </w:r>
      <w:r>
        <w:rPr>
          <w:rFonts w:ascii="Liberation Serif" w:hAnsi="Liberation Serif" w:cs="Liberation Serif" w:eastAsiaTheme="minorHAnsi"/>
          <w:lang w:val="ru-RU"/>
        </w:rPr>
        <w:t xml:space="preserve">. Прием вызовов по телефону оператором осуществляется не менее 10 часов в сутки с понедельника по пятницу с 8:00 до 18:00 по московскому времени, в субботу с 8:00 до 15:00 (кроме официальных нерабочих праздничных дней)</w:t>
      </w:r>
      <w:bookmarkEnd w:id="0"/>
    </w:p>
    <w:p>
      <w:pPr>
        <w:pStyle w:val="af"/>
        <w:numPr>
          <w:numId w:val="14"/>
          <w:ilvl w:val="0"/>
        </w:numPr>
        <w:spacing w:after="160" w:line="259" w:lineRule="auto"/>
        <w:ind w:left="426" w:hanging="426"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cs="Liberation Serif" w:eastAsiaTheme="minorHAnsi"/>
          <w:b/>
          <w:lang w:val="ru-RU"/>
        </w:rPr>
        <w:t xml:space="preserve">электронной почты - </w:t>
      </w:r>
      <w:r>
        <w:rPr>
          <w:rFonts w:ascii="Liberation Serif" w:hAnsi="Liberation Serif" w:cs="Liberation Serif" w:eastAsiaTheme="minorHAnsi"/>
          <w:b/>
          <w:bCs/>
          <w:lang w:val="ru-RU"/>
        </w:rPr>
        <w:t xml:space="preserve">информационные и </w:t>
      </w:r>
      <w:r>
        <w:rPr>
          <w:rFonts w:ascii="Liberation Serif" w:hAnsi="Liberation Serif" w:cs="Liberation Serif" w:eastAsiaTheme="minorHAnsi"/>
          <w:b/>
          <w:bCs/>
          <w:lang w:val="ru-RU"/>
        </w:rPr>
        <w:t xml:space="preserve">рекламно-информационные рассылки/уведомления </w:t>
      </w:r>
      <w:r>
        <w:rPr>
          <w:rFonts w:ascii="Liberation Serif" w:hAnsi="Liberation Serif" w:cs="Liberation Serif" w:eastAsiaTheme="minorHAnsi"/>
          <w:lang w:val="ru-RU"/>
        </w:rPr>
        <w:t xml:space="preserve">для физических и юридических лиц: о сервисах и способах обслуживания Общества, необходимости своевременной оплаты, передаче показаний, о проводимых акциях и кампаниях, а также другой значимой для клиентов информ</w:t>
      </w:r>
      <w:r>
        <w:rPr>
          <w:rFonts w:ascii="Liberation Serif" w:hAnsi="Liberation Serif" w:cs="Liberation Serif" w:eastAsiaTheme="minorHAnsi"/>
          <w:lang w:val="ru-RU"/>
        </w:rPr>
        <w:t xml:space="preserve">ации.</w:t>
      </w:r>
    </w:p>
    <w:p>
      <w:pPr>
        <w:jc w:val="both"/>
        <w:rPr>
          <w:rFonts w:ascii="Liberation Serif" w:hAnsi="Liberation Serif" w:cs="Liberation Serif"/>
          <w:b/>
          <w:lang w:val="ru-RU"/>
        </w:rPr>
      </w:pPr>
    </w:p>
    <w:p>
      <w:pPr>
        <w:pStyle w:val="af"/>
        <w:tabs>
          <w:tab w:val="left" w:pos="1134"/>
        </w:tabs>
        <w:ind w:left="709"/>
        <w:jc w:val="both"/>
        <w:rPr>
          <w:rFonts w:ascii="Liberation Serif" w:hAnsi="Liberation Serif" w:cs="Liberation Serif"/>
          <w:b/>
          <w:lang w:val="ru-RU"/>
        </w:rPr>
      </w:pPr>
      <w:r>
        <w:rPr>
          <w:rFonts w:ascii="Liberation Serif" w:hAnsi="Liberation Serif" w:eastAsia="Liberation Serif" w:cs="Liberation Serif"/>
          <w:b/>
          <w:lang w:val="ru-RU"/>
        </w:rPr>
        <w:t xml:space="preserve">4. План мероприятий по повышению качества обслуживания.</w:t>
      </w:r>
    </w:p>
    <w:p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В данном разделе инициативные предложения по повышению качества обслуживания конкретизируются по форме Таблицы</w:t>
      </w:r>
      <w:r>
        <w:rPr>
          <w:rFonts w:ascii="Liberation Serif" w:hAnsi="Liberation Serif" w:eastAsia="Liberation Serif" w:cs="Liberation Serif"/>
          <w:lang w:val="ru-RU"/>
        </w:rPr>
        <w:t xml:space="preserve"> настоящего Приложения:</w:t>
      </w:r>
    </w:p>
    <w:p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Графа 1 – Порядковый номер;</w:t>
      </w:r>
    </w:p>
    <w:p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Графа 2 – Предложение, которое указано в графе 3 Таблицы 1 настоящего Приложения;</w:t>
      </w:r>
    </w:p>
    <w:p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Графа 3 – </w:t>
      </w:r>
      <w:r>
        <w:rPr>
          <w:rFonts w:ascii="Liberation Serif" w:hAnsi="Liberation Serif" w:eastAsia="Liberation Serif" w:cs="Liberation Serif"/>
          <w:lang w:val="ru-RU"/>
        </w:rPr>
        <w:t xml:space="preserve">Мероприятия, которые детализируют предложение и направлены на реализацию инициативы;</w:t>
      </w:r>
    </w:p>
    <w:p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Графа 4 – Срок, где указывается плановый срок реализации мероприятия;</w:t>
      </w:r>
    </w:p>
    <w:p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Графа 5 – Результат, где указывается ожидаемый результат реализации мероприятия и/или в целом предлож</w:t>
      </w:r>
      <w:r>
        <w:rPr>
          <w:rFonts w:ascii="Liberation Serif" w:hAnsi="Liberation Serif" w:eastAsia="Liberation Serif" w:cs="Liberation Serif"/>
          <w:lang w:val="ru-RU"/>
        </w:rPr>
        <w:t xml:space="preserve">ения, который может быть представлен в качественном или количественном выражении.</w:t>
      </w:r>
    </w:p>
    <w:p>
      <w:pPr>
        <w:contextualSpacing/>
        <w:jc w:val="both"/>
        <w:rPr>
          <w:rFonts w:ascii="Liberation Serif" w:hAnsi="Liberation Serif" w:cs="Liberation Serif"/>
          <w:lang w:val="ru-RU"/>
        </w:rPr>
      </w:pPr>
    </w:p>
    <w:p>
      <w:pPr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br w:type="page" w:clear="all"/>
      </w:r>
    </w:p>
    <w:p>
      <w:pPr>
        <w:contextualSpacing/>
        <w:jc w:val="both"/>
        <w:rPr>
          <w:rFonts w:ascii="Liberation Serif" w:hAnsi="Liberation Serif" w:cs="Liberation Serif"/>
          <w:lang w:val="ru-RU"/>
        </w:rPr>
      </w:pPr>
    </w:p>
    <w:p>
      <w:pPr>
        <w:ind w:firstLine="709"/>
        <w:contextualSpacing/>
        <w:jc w:val="right"/>
        <w:rPr>
          <w:rFonts w:ascii="Liberation Serif" w:hAnsi="Liberation Serif" w:cs="Liberation Serif"/>
          <w:lang w:val="ru-RU"/>
        </w:rPr>
      </w:pPr>
      <w:r>
        <w:rPr>
          <w:rFonts w:ascii="Liberation Serif" w:hAnsi="Liberation Serif" w:eastAsia="Liberation Serif" w:cs="Liberation Serif"/>
          <w:lang w:val="ru-RU"/>
        </w:rPr>
        <w:t xml:space="preserve">Таблица</w:t>
      </w:r>
      <w:r>
        <w:rPr>
          <w:rFonts w:ascii="Liberation Serif" w:hAnsi="Liberation Serif" w:eastAsia="Liberation Serif" w:cs="Liberation Serif"/>
          <w:lang w:val="ru-RU"/>
        </w:rPr>
        <w:t xml:space="preserve">:</w:t>
      </w:r>
      <w:r>
        <w:rPr>
          <w:rFonts w:ascii="Liberation Serif" w:hAnsi="Liberation Serif" w:eastAsia="Liberation Serif" w:cs="Liberation Serif"/>
          <w:lang w:val="ru-RU"/>
        </w:rPr>
        <w:t xml:space="preserve"> План мероприятий по повышению качества обслуживания</w:t>
      </w:r>
    </w:p>
    <w:p>
      <w:pPr>
        <w:ind w:firstLine="709"/>
        <w:contextualSpacing/>
        <w:jc w:val="right"/>
        <w:rPr>
          <w:rFonts w:ascii="Liberation Serif" w:hAnsi="Liberation Serif" w:cs="Liberation Serif"/>
          <w:lang w:val="ru-RU"/>
        </w:rPr>
      </w:pPr>
    </w:p>
    <w:tbl>
      <w:tblPr>
        <w:tblStyle w:val="af1"/>
        <w:tblpPr w:horzAnchor="text" w:tblpXSpec="left" w:vertAnchor="text" w:tblpY="1" w:leftFromText="180" w:rightFromText="180"/>
        <w:tblW w:w="10627" w:type="dxa"/>
        <w:tblLayout w:type="fixed"/>
        <w:tblLook w:val="04A0" w:firstRow="1" w:lastRow="0" w:firstColumn="1" w:lastColumn="0" w:noHBand="0" w:noVBand="1"/>
      </w:tblPr>
      <w:tblGrid>
        <w:gridCol w:w="849"/>
        <w:gridCol w:w="2689"/>
        <w:gridCol w:w="37"/>
        <w:gridCol w:w="2797"/>
        <w:gridCol w:w="37"/>
        <w:gridCol w:w="1667"/>
        <w:gridCol w:w="2551"/>
      </w:tblGrid>
      <w:tr>
        <w:tc>
          <w:tcPr>
            <w:tcW w:w="849" w:type="dxa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</w:rPr>
              <w:t xml:space="preserve">№</w:t>
            </w:r>
          </w:p>
        </w:tc>
        <w:tc>
          <w:tcPr>
            <w:tcW w:w="2726" w:type="dxa"/>
            <w:gridSpan w:val="2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</w:rPr>
              <w:t xml:space="preserve">Предложения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</w:rPr>
              <w:t xml:space="preserve">Мероприятия</w:t>
            </w:r>
            <w:r>
              <w:rPr>
                <w:rFonts w:ascii="Liberation Serif" w:hAnsi="Liberation Serif" w:eastAsia="Liberation Serif" w:cs="Liberation Serif"/>
                <w:b/>
              </w:rPr>
              <w:t xml:space="preserve"> </w:t>
            </w:r>
          </w:p>
        </w:tc>
        <w:tc>
          <w:tcPr>
            <w:tcW w:w="1667" w:type="dxa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</w:rPr>
              <w:t xml:space="preserve">Срок</w:t>
            </w:r>
            <w:r>
              <w:rPr>
                <w:rFonts w:ascii="Liberation Serif" w:hAnsi="Liberation Serif" w:eastAsia="Liberation Serif" w:cs="Liberation Serif"/>
                <w:b/>
              </w:rPr>
              <w:t xml:space="preserve"> </w:t>
            </w:r>
          </w:p>
        </w:tc>
        <w:tc>
          <w:tcPr>
            <w:tcW w:w="2551" w:type="dxa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</w:rPr>
              <w:t xml:space="preserve">Результат</w:t>
            </w:r>
          </w:p>
        </w:tc>
      </w:tr>
      <w:tr>
        <w:tc>
          <w:tcPr>
            <w:tcW w:w="849" w:type="dxa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</w:rPr>
              <w:t xml:space="preserve">1</w:t>
            </w:r>
          </w:p>
        </w:tc>
        <w:tc>
          <w:tcPr>
            <w:tcW w:w="2726" w:type="dxa"/>
            <w:gridSpan w:val="2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</w:rPr>
              <w:t xml:space="preserve">2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</w:rPr>
              <w:t xml:space="preserve">3</w:t>
            </w:r>
          </w:p>
        </w:tc>
        <w:tc>
          <w:tcPr>
            <w:tcW w:w="1667" w:type="dxa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</w:rPr>
              <w:t xml:space="preserve">4</w:t>
            </w:r>
          </w:p>
        </w:tc>
        <w:tc>
          <w:tcPr>
            <w:tcW w:w="2551" w:type="dxa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</w:rPr>
              <w:t xml:space="preserve">5</w:t>
            </w:r>
          </w:p>
        </w:tc>
      </w:tr>
      <w:tr>
        <w:tc>
          <w:tcPr>
            <w:tcW w:w="849" w:type="dxa"/>
            <w:shd w:val="clear" w:color="ffffff" w:themeColor="background1" w:fill="ffffff" w:themeFill="background1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1.</w:t>
            </w:r>
          </w:p>
        </w:tc>
        <w:tc>
          <w:tcPr>
            <w:tcW w:w="9778" w:type="dxa"/>
            <w:gridSpan w:val="6"/>
            <w:shd w:val="clear" w:color="ffffff" w:themeColor="background1" w:fill="ffffff" w:themeFill="background1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Очное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обслуживание</w:t>
            </w:r>
          </w:p>
        </w:tc>
      </w:tr>
      <w:t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1.1.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Офис 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обслуживания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клиентов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 В2В</w:t>
            </w:r>
          </w:p>
        </w:tc>
      </w:tr>
      <w:tr>
        <w:tc>
          <w:tcPr>
            <w:tcW w:w="849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1.1.1</w:t>
            </w:r>
          </w:p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26" w:type="dxa"/>
            <w:gridSpan w:val="2"/>
            <w:vMerge w:val="restart"/>
          </w:tcPr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Развитие сервисов и повышение удобства очного обслуживания клиентов</w:t>
            </w:r>
          </w:p>
          <w:p>
            <w:pPr>
              <w:rPr>
                <w:rFonts w:ascii="Liberation Serif" w:hAnsi="Liberation Serif" w:cs="Liberation Serif"/>
                <w:lang w:val="ru-RU"/>
              </w:rPr>
            </w:pPr>
          </w:p>
        </w:tc>
        <w:tc>
          <w:tcPr>
            <w:tcW w:w="2834" w:type="dxa"/>
            <w:gridSpan w:val="2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Установка терминалов электронной очереди 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31.12.2026</w:t>
            </w:r>
          </w:p>
        </w:tc>
        <w:tc>
          <w:tcPr>
            <w:tcW w:w="2551" w:type="dxa"/>
          </w:tcPr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Сервис электронной очереди внедрен в офисе Заволжского МРО</w:t>
            </w:r>
          </w:p>
        </w:tc>
      </w:tr>
      <w:tr>
        <w:tc>
          <w:tcPr>
            <w:tcW w:w="849" w:type="dxa"/>
            <w:vMerge w:val="continue"/>
          </w:tcPr>
          <w:p>
            <w:pPr>
              <w:contextualSpacing/>
              <w:jc w:val="both"/>
              <w:rPr>
                <w:highlight w:val="white"/>
                <w:lang w:val="ru-RU"/>
              </w:rPr>
            </w:pPr>
          </w:p>
        </w:tc>
        <w:tc>
          <w:tcPr>
            <w:tcW w:w="2726" w:type="dxa"/>
            <w:gridSpan w:val="2"/>
            <w:vMerge w:val="continue"/>
          </w:tcPr>
          <w:p>
            <w:pPr>
              <w:rPr>
                <w:highlight w:val="white"/>
                <w:lang w:val="ru-RU"/>
              </w:rPr>
            </w:pPr>
          </w:p>
        </w:tc>
        <w:tc>
          <w:tcPr>
            <w:tcW w:w="2834" w:type="dxa"/>
            <w:gridSpan w:val="2"/>
          </w:tcPr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Внедрение сервиса предварительной записи на очный прием 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31.12.2026</w:t>
            </w:r>
          </w:p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</w:tcPr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Сервис предварительной записи внедрен в офисах:</w:t>
            </w:r>
          </w:p>
          <w:p>
            <w:pPr>
              <w:pStyle w:val="af"/>
              <w:numPr>
                <w:numId w:val="22"/>
                <w:ilvl w:val="0"/>
              </w:num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Прихоперское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МРО;</w:t>
            </w:r>
          </w:p>
          <w:p>
            <w:pPr>
              <w:pStyle w:val="af"/>
              <w:numPr>
                <w:numId w:val="22"/>
                <w:ilvl w:val="0"/>
              </w:num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Северное МРО;</w:t>
            </w:r>
          </w:p>
          <w:p>
            <w:pPr>
              <w:pStyle w:val="af"/>
              <w:numPr>
                <w:numId w:val="22"/>
                <w:ilvl w:val="0"/>
              </w:num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Северо-Восточное МРО;</w:t>
            </w:r>
          </w:p>
          <w:p>
            <w:pPr>
              <w:pStyle w:val="af"/>
              <w:numPr>
                <w:numId w:val="22"/>
                <w:ilvl w:val="0"/>
              </w:num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Центральное МРО.</w:t>
            </w:r>
          </w:p>
        </w:tc>
      </w:tr>
      <w:tr>
        <w:trPr>
          <w:trHeight w:val="1580"/>
        </w:trPr>
        <w:tc>
          <w:tcPr>
            <w:tcW w:w="849" w:type="dxa"/>
            <w:vMerge w:val="continue"/>
          </w:tcPr>
          <w:p>
            <w:pPr>
              <w:contextualSpacing/>
              <w:jc w:val="both"/>
              <w:rPr>
                <w:highlight w:val="white"/>
                <w:lang w:val="ru-RU"/>
              </w:rPr>
            </w:pPr>
          </w:p>
        </w:tc>
        <w:tc>
          <w:tcPr>
            <w:tcW w:w="2726" w:type="dxa"/>
            <w:gridSpan w:val="2"/>
            <w:vMerge w:val="continue"/>
          </w:tcPr>
          <w:p>
            <w:pPr>
              <w:rPr>
                <w:highlight w:val="white"/>
                <w:lang w:val="ru-RU"/>
              </w:rPr>
            </w:pPr>
          </w:p>
        </w:tc>
        <w:tc>
          <w:tcPr>
            <w:tcW w:w="2834" w:type="dxa"/>
            <w:gridSpan w:val="2"/>
          </w:tcPr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Внедрение цифрового сервиса опроса оценки качества. (Установка на рабочих местах планшетов для оценки качества обслуживания)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31.12.2026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Сервис опросов удовлетворенности внедрен в МРО:</w:t>
            </w:r>
          </w:p>
          <w:p>
            <w:pPr>
              <w:pStyle w:val="af"/>
              <w:numPr>
                <w:numId w:val="41"/>
                <w:ilvl w:val="0"/>
              </w:num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Прихоперское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МРО;</w:t>
            </w:r>
          </w:p>
          <w:p>
            <w:pPr>
              <w:pStyle w:val="af"/>
              <w:numPr>
                <w:numId w:val="41"/>
                <w:ilvl w:val="0"/>
              </w:num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Северное МРО;</w:t>
            </w:r>
          </w:p>
          <w:p>
            <w:pPr>
              <w:pStyle w:val="af"/>
              <w:numPr>
                <w:numId w:val="41"/>
                <w:ilvl w:val="0"/>
              </w:num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Северо-Восточное МРО;</w:t>
            </w:r>
          </w:p>
          <w:p>
            <w:pPr>
              <w:pStyle w:val="af"/>
              <w:numPr>
                <w:numId w:val="41"/>
                <w:ilvl w:val="0"/>
              </w:num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Центральное МРО.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1.1.2</w:t>
            </w:r>
          </w:p>
        </w:tc>
        <w:tc>
          <w:tcPr>
            <w:tcW w:w="2726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Повышение качества обработки обращений по заключению договора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Повысить уровень качества обработки обращений по заключению договора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31.12.2026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Сроки заключения договора соблюдаются.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1.1.3</w:t>
            </w:r>
          </w:p>
        </w:tc>
        <w:tc>
          <w:tcPr>
            <w:tcW w:w="2726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Оптимизация процессов очного обслуживания клиентов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Разработка </w:t>
            </w:r>
            <w:r>
              <w:rPr>
                <w:rFonts w:ascii="Liberation Serif" w:hAnsi="Liberation Serif" w:cs="Liberation Serif"/>
                <w:lang w:val="ru-RU"/>
              </w:rPr>
              <w:t xml:space="preserve">и размещение актуальной, доступной, простой для восприятия информации для клиентов в МРО, единой для внешних, дистанционных и интерактивных носителей в каналах коммуникаций.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31.12.2026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 МРО размещена </w:t>
            </w:r>
            <w:r>
              <w:rPr>
                <w:rFonts w:ascii="Liberation Serif" w:hAnsi="Liberation Serif" w:cs="Liberation Serif"/>
                <w:lang w:val="ru-RU"/>
              </w:rPr>
              <w:t xml:space="preserve">актуальная, доступная, простой для восприятия информации для клиентов В2В</w:t>
            </w:r>
          </w:p>
        </w:tc>
      </w:tr>
      <w:tr>
        <w:trPr>
          <w:trHeight w:val="276"/>
        </w:trPr>
        <w:tc>
          <w:tcPr>
            <w:tcW w:w="849" w:type="dxa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1.1.4</w:t>
            </w:r>
          </w:p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</w:p>
        </w:tc>
        <w:tc>
          <w:tcPr>
            <w:tcW w:w="2726" w:type="dxa"/>
            <w:gridSpan w:val="2"/>
            <w:vMerge w:val="restart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Организация мониторинга показателей качества обслуживания клиентов в канале очного обслуживания</w:t>
            </w:r>
          </w:p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</w:p>
        </w:tc>
        <w:tc>
          <w:tcPr>
            <w:tcW w:w="2834" w:type="dxa"/>
            <w:gridSpan w:val="2"/>
          </w:tcPr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Внедрение цифрового сервиса опроса оценки качества. (Установка на рабочих местах планшетов для оценки качества обслуживания)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31.12.2026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Сервис опросов удовлетворенности внедрен в: </w:t>
            </w:r>
          </w:p>
          <w:p>
            <w:pPr>
              <w:pStyle w:val="af"/>
              <w:numPr>
                <w:numId w:val="45"/>
                <w:ilvl w:val="0"/>
              </w:numPr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Центральном МРО</w:t>
            </w:r>
          </w:p>
          <w:p>
            <w:pPr>
              <w:pStyle w:val="af"/>
              <w:numPr>
                <w:numId w:val="45"/>
                <w:ilvl w:val="0"/>
              </w:numPr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Приволжском МРО</w:t>
            </w:r>
          </w:p>
          <w:p>
            <w:pPr>
              <w:pStyle w:val="af"/>
              <w:numPr>
                <w:numId w:val="45"/>
                <w:ilvl w:val="0"/>
              </w:numPr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Северо-Восточном МРО</w:t>
            </w:r>
          </w:p>
          <w:p>
            <w:pPr>
              <w:pStyle w:val="af"/>
              <w:numPr>
                <w:numId w:val="45"/>
                <w:ilvl w:val="0"/>
              </w:numPr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Прихоперское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МРО</w:t>
            </w:r>
          </w:p>
        </w:tc>
      </w:tr>
      <w:tr>
        <w:trPr>
          <w:trHeight w:val="276"/>
        </w:trPr>
        <w:tc>
          <w:tcPr>
            <w:tcW w:w="849" w:type="dxa"/>
            <w:vMerge w:val="continue"/>
          </w:tcPr>
          <w:p/>
        </w:tc>
        <w:tc>
          <w:tcPr>
            <w:tcW w:w="2726" w:type="dxa"/>
            <w:gridSpan w:val="2"/>
            <w:vMerge w:val="continue"/>
          </w:tcPr>
          <w:p/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Внедрение опроса оценки качества обслуживания с использованием </w:t>
            </w:r>
            <w:r>
              <w:rPr>
                <w:rFonts w:ascii="Liberation Serif" w:hAnsi="Liberation Serif" w:eastAsia="Liberation Serif" w:cs="Liberation Serif"/>
              </w:rPr>
              <w:t xml:space="preserve">QR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-кода. 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31.12.202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6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Сервис опросов удовлетворенности внедрен в: </w:t>
            </w:r>
          </w:p>
          <w:p>
            <w:pPr>
              <w:pStyle w:val="af"/>
              <w:numPr>
                <w:numId w:val="46"/>
                <w:ilvl w:val="0"/>
              </w:numPr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Центральном МРО</w:t>
            </w:r>
          </w:p>
          <w:p>
            <w:pPr>
              <w:pStyle w:val="af"/>
              <w:numPr>
                <w:numId w:val="46"/>
                <w:ilvl w:val="0"/>
              </w:numPr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Приволжском МРО</w:t>
            </w:r>
          </w:p>
          <w:p>
            <w:pPr>
              <w:pStyle w:val="af"/>
              <w:numPr>
                <w:numId w:val="46"/>
                <w:ilvl w:val="0"/>
              </w:numPr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Северо-Восточном МРО</w:t>
            </w:r>
          </w:p>
          <w:p>
            <w:pPr>
              <w:pStyle w:val="af"/>
              <w:numPr>
                <w:numId w:val="46"/>
                <w:ilvl w:val="0"/>
              </w:numPr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Прихоперское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МРО</w:t>
            </w:r>
          </w:p>
        </w:tc>
      </w:tr>
      <w:t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1.2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Офис 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обслуживания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клиентов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 В2С</w:t>
            </w:r>
          </w:p>
        </w:tc>
      </w:tr>
      <w:tr>
        <w:tc>
          <w:tcPr>
            <w:tcW w:w="849" w:type="dxa"/>
            <w:vMerge w:val="restart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1.2.1</w:t>
            </w:r>
          </w:p>
        </w:tc>
        <w:tc>
          <w:tcPr>
            <w:tcW w:w="2726" w:type="dxa"/>
            <w:gridSpan w:val="2"/>
            <w:vMerge w:val="restart"/>
            <w:shd w:val="clear" w:color="auto" w:fill="auto"/>
          </w:tcPr>
          <w:p>
            <w:pPr>
              <w:jc w:val="both"/>
              <w:rPr>
                <w:rFonts w:ascii="Liberation Serif" w:hAnsi="Liberation Serif" w:eastAsia="Liberation Serif" w:cs="Liberation Serif"/>
                <w:u w:val="single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Организация мониторинга показателей качества обслуживания клиентов в канале очного обслуживания</w:t>
            </w:r>
          </w:p>
        </w:tc>
        <w:tc>
          <w:tcPr>
            <w:tcW w:w="2834" w:type="dxa"/>
            <w:gridSpan w:val="2"/>
            <w:shd w:val="clear" w:color="auto" w:fill="auto"/>
          </w:tcPr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Внедрение цифрового сервиса опроса оценки качества. (Установка на рабочих местах планшетов для оценки качества обслуживания)</w:t>
            </w:r>
          </w:p>
        </w:tc>
        <w:tc>
          <w:tcPr>
            <w:tcW w:w="1667" w:type="dxa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31.12.202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6</w:t>
            </w:r>
          </w:p>
        </w:tc>
        <w:tc>
          <w:tcPr>
            <w:tcW w:w="2551" w:type="dxa"/>
            <w:shd w:val="clear" w:color="auto" w:fill="auto"/>
          </w:tcPr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Сервис опросов удовлетво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ренности внедрен в: </w:t>
            </w:r>
          </w:p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1. Центр обслуживания физических лиц Балаковского и Духовницкого районов;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2. Центр обслуживания физических лиц </w:t>
            </w:r>
          </w:p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Энгельсского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Ровенского районов;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3. Центр обслуживания физических лиц </w:t>
            </w:r>
          </w:p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Балашовского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Романовского районов;</w:t>
            </w:r>
          </w:p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4. Саратовский центр обслуживания физических лиц;</w:t>
            </w:r>
          </w:p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5. Группа по работе с потребителями - физическими лицами Петровского района;</w:t>
            </w:r>
          </w:p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6. Центр обслуживания физических лиц Пугачевского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Перелюбского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районов;</w:t>
            </w:r>
          </w:p>
          <w:p>
            <w:pPr>
              <w:contextualSpacing/>
              <w:jc w:val="both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7. Центр обслуживания физических лиц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Вольского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района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</w:p>
        </w:tc>
      </w:tr>
      <w:tr>
        <w:tc>
          <w:tcPr>
            <w:tcW w:w="849" w:type="dxa"/>
            <w:vMerge w:val="continue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highlight w:val="yellow"/>
                <w:lang w:val="ru-RU"/>
              </w:rPr>
            </w:pPr>
          </w:p>
        </w:tc>
        <w:tc>
          <w:tcPr>
            <w:tcW w:w="2726" w:type="dxa"/>
            <w:gridSpan w:val="2"/>
            <w:vMerge w:val="continue"/>
            <w:shd w:val="clear" w:color="auto" w:fill="auto"/>
          </w:tcPr>
          <w:p>
            <w:pPr>
              <w:jc w:val="both"/>
              <w:rPr>
                <w:rFonts w:ascii="Liberation Serif" w:hAnsi="Liberation Serif" w:eastAsia="Liberation Serif" w:cs="Liberation Serif"/>
                <w:highlight w:val="yellow"/>
                <w:lang w:val="ru-RU"/>
              </w:rPr>
            </w:pPr>
          </w:p>
        </w:tc>
        <w:tc>
          <w:tcPr>
            <w:tcW w:w="2834" w:type="dxa"/>
            <w:gridSpan w:val="2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Внедрение опроса оценки качества обслуживания с использованием </w:t>
            </w:r>
            <w:r>
              <w:rPr>
                <w:rFonts w:ascii="Liberation Serif" w:hAnsi="Liberation Serif" w:eastAsia="Liberation Serif" w:cs="Liberation Serif"/>
              </w:rPr>
              <w:t xml:space="preserve">QR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-кода. </w:t>
            </w:r>
          </w:p>
        </w:tc>
        <w:tc>
          <w:tcPr>
            <w:tcW w:w="1667" w:type="dxa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01.04.2026</w:t>
            </w:r>
          </w:p>
        </w:tc>
        <w:tc>
          <w:tcPr>
            <w:tcW w:w="2551" w:type="dxa"/>
            <w:shd w:val="clear" w:color="auto" w:fill="auto"/>
          </w:tcPr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Опрос внедрен в: ЦО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Ершовского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Дергачевского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районов( по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г. Ершову)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Новоузенского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Александрово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-Гайского районов (по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г.Новоузенску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Новоузенского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Александрово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-Гайского районов (по с. Александров Гай)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Озинского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района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Аткарского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Екатериновского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районов (по г. Аткарску)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Аткарского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Екатериновского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районов (по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р.п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. Екатериновка)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Калининского района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Лысогорского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она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ЦО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Балашовского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Романовского района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( по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р.п.Романовка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Самойловского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района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Аркадакского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Турковского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районов(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по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г.Аркадак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Аркадакского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Турковского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районов(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по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р.п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. Турки)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ЦО ФЛ Пугачевского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Перелюбского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районов (по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с.Пе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релюб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Ивантеевского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района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Воскресенского района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Базарно-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Карабулакского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Балтайского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районов( по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р.п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. Базарный Карабулак)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Базарно-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Карабулакского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Балтайского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районов( по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с.Балтай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Новобурасского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района 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ЦО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Энгельсск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Ровенского районов (по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р.п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. Ровное) 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Советского района 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Краснокутского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Питерского района (по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г.Красный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кут)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Краснокутского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и Питерского района (по с. Питерка)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Федоровского района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ЦО ФЛ Балаковского и Духовницкого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районов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( по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р.п.Духовницкое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)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Хвалынского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района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ГРП ФЛ 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Краснопартизанского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района</w:t>
            </w:r>
          </w:p>
        </w:tc>
      </w:tr>
      <w:tr>
        <w:tc>
          <w:tcPr>
            <w:tcW w:w="849" w:type="dxa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1.2.2</w:t>
            </w:r>
          </w:p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26" w:type="dxa"/>
            <w:gridSpan w:val="2"/>
            <w:shd w:val="clear" w:color="auto" w:fill="auto"/>
          </w:tcPr>
          <w:p>
            <w:pPr>
              <w:jc w:val="both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Развитие сервисов и повышение удобства очного обслуживания клиентов</w:t>
            </w:r>
          </w:p>
          <w:p>
            <w:pPr>
              <w:jc w:val="both"/>
              <w:rPr>
                <w:rFonts w:ascii="Liberation Serif" w:hAnsi="Liberation Serif" w:cs="Liberation Serif"/>
                <w:lang w:val="ru-RU"/>
              </w:rPr>
            </w:pPr>
          </w:p>
        </w:tc>
        <w:tc>
          <w:tcPr>
            <w:tcW w:w="2834" w:type="dxa"/>
            <w:gridSpan w:val="2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Установка терминалов электронной очереди</w:t>
            </w:r>
          </w:p>
        </w:tc>
        <w:tc>
          <w:tcPr>
            <w:tcW w:w="1667" w:type="dxa"/>
            <w:shd w:val="clear" w:color="auto" w:fill="auto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31.12.2026</w:t>
            </w:r>
          </w:p>
        </w:tc>
        <w:tc>
          <w:tcPr>
            <w:tcW w:w="2551" w:type="dxa"/>
            <w:shd w:val="clear" w:color="auto" w:fill="auto"/>
          </w:tcPr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Сервис электронной очереди внедрен еще в 5 территориальных подразделениях: </w:t>
            </w:r>
          </w:p>
          <w:p>
            <w:pP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</w:pP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1. ЦО ФЛ 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Ершовского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 и 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Дергачевского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 районов;</w:t>
            </w:r>
          </w:p>
          <w:p>
            <w:pP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</w:pP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2. ГРП 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Аткарский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 и 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Екатериновского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 районов;</w:t>
            </w:r>
          </w:p>
          <w:p>
            <w:pP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</w:pP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3. ГРП Калининского района;</w:t>
            </w:r>
          </w:p>
          <w:p>
            <w:pP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</w:pP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4. ГРП 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Краснокутского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 и Питерского районов;</w:t>
            </w:r>
          </w:p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5. ГРП Базарно-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Кара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булакского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 и 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Балтайского</w:t>
            </w:r>
            <w:r>
              <w:rPr>
                <w:rStyle w:val="docy"/>
                <w:rFonts w:ascii="Liberation Serif" w:hAnsi="Liberation Serif" w:eastAsia="Arial" w:cs="Liberation Serif"/>
                <w:color w:val="000000"/>
                <w:lang w:val="ru-RU"/>
              </w:rPr>
              <w:t xml:space="preserve"> районов</w:t>
            </w:r>
          </w:p>
          <w:p>
            <w:pPr>
              <w:rPr>
                <w:rFonts w:ascii="Liberation Serif" w:hAnsi="Liberation Serif" w:cs="Liberation Serif"/>
                <w:lang w:val="ru-RU"/>
              </w:rPr>
            </w:pPr>
          </w:p>
        </w:tc>
      </w:tr>
      <w:tr>
        <w:trPr>
          <w:trHeight w:val="276"/>
        </w:trPr>
        <w:tc>
          <w:tcPr>
            <w:tcW w:w="849" w:type="dxa"/>
            <w:tcBorders>
              <w:top w:val="none" w:color="000000" w:sz="4" w:space="0"/>
            </w:tcBorders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1.2.3</w:t>
            </w:r>
          </w:p>
        </w:tc>
        <w:tc>
          <w:tcPr>
            <w:tcW w:w="2726" w:type="dxa"/>
            <w:gridSpan w:val="2"/>
            <w:tcBorders>
              <w:top w:val="none" w:color="000000" w:sz="4" w:space="0"/>
            </w:tcBorders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Оптимизация процессов очного обслуживания клиентов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Разработка и размещение актуальной, доступной, простой для восприятия информации для клиентов в КО, единой для внешних, дистанционных и интерактивных носителей в каналах коммуникаций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31.12.2026</w:t>
            </w:r>
          </w:p>
        </w:tc>
        <w:tc>
          <w:tcPr>
            <w:tcW w:w="2551" w:type="dxa"/>
            <w:shd w:val="clear" w:color="ffffff" w:fill="ffffff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 КО размещена </w:t>
            </w:r>
            <w:r>
              <w:rPr>
                <w:rFonts w:ascii="Liberation Serif" w:hAnsi="Liberation Serif" w:cs="Liberation Serif"/>
                <w:lang w:val="ru-RU"/>
              </w:rPr>
              <w:t xml:space="preserve">актуальная, доступная, простой для восприятия и</w:t>
            </w:r>
            <w:r>
              <w:rPr>
                <w:rFonts w:ascii="Liberation Serif" w:hAnsi="Liberation Serif" w:cs="Liberation Serif"/>
                <w:lang w:val="ru-RU"/>
              </w:rPr>
              <w:t xml:space="preserve">нформации для клиентов В2С</w:t>
            </w:r>
          </w:p>
        </w:tc>
      </w:tr>
      <w:tr>
        <w:trPr>
          <w:trHeight w:val="276"/>
        </w:trPr>
        <w:tc>
          <w:tcPr>
            <w:tcW w:w="849" w:type="dxa"/>
            <w:tcBorders>
              <w:top w:val="none" w:color="000000" w:sz="4" w:space="0"/>
            </w:tcBorders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1.2.4</w:t>
            </w:r>
          </w:p>
        </w:tc>
        <w:tc>
          <w:tcPr>
            <w:tcW w:w="2726" w:type="dxa"/>
            <w:gridSpan w:val="2"/>
            <w:tcBorders>
              <w:top w:val="none" w:color="000000" w:sz="4" w:space="0"/>
            </w:tcBorders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Оптимизация процессов очного обслуживания клиентов 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Проведение мероприятий, направленных на сокращение гарантирующим поставщиком срока замены ПУ с 6 до 3 месяцев в помещениях МКД 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31.12.2026</w:t>
            </w:r>
          </w:p>
        </w:tc>
        <w:tc>
          <w:tcPr>
            <w:tcW w:w="2551" w:type="dxa"/>
            <w:shd w:val="clear" w:color="ffffff" w:fill="ffffff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Сроки по замене приборов учета электроэнергии соблюдаются</w:t>
            </w:r>
          </w:p>
        </w:tc>
      </w:tr>
      <w:tr>
        <w:trPr>
          <w:trHeight w:val="276"/>
        </w:trPr>
        <w:tc>
          <w:tcPr>
            <w:tcW w:w="849" w:type="dxa"/>
            <w:tcBorders>
              <w:top w:val="none" w:color="000000" w:sz="4" w:space="0"/>
            </w:tcBorders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1.2.5</w:t>
            </w:r>
          </w:p>
        </w:tc>
        <w:tc>
          <w:tcPr>
            <w:tcW w:w="2726" w:type="dxa"/>
            <w:gridSpan w:val="2"/>
            <w:tcBorders>
              <w:top w:val="none" w:color="000000" w:sz="4" w:space="0"/>
            </w:tcBorders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Повышение качества очного обслуживания клиентов В2С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Корректировка существующих и разработка новых скриптов и алгоритмов для сотрудников осуществляющих очное обслуживание клиентов 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01.07.2026</w:t>
            </w:r>
          </w:p>
        </w:tc>
        <w:tc>
          <w:tcPr>
            <w:tcW w:w="2551" w:type="dxa"/>
            <w:shd w:val="clear" w:color="ffffff" w:fill="ffffff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Разработаны новые скрипты и алгоритмы </w:t>
            </w:r>
            <w:r>
              <w:rPr>
                <w:rFonts w:ascii="Liberation Serif" w:hAnsi="Liberation Serif" w:cs="Liberation Serif"/>
                <w:lang w:val="ru-RU"/>
              </w:rPr>
              <w:t xml:space="preserve">для сотрудников осуществляющих очное обслуживание клиентов В2С</w:t>
            </w:r>
          </w:p>
        </w:tc>
      </w:tr>
      <w:tr>
        <w:trPr>
          <w:trHeight w:val="276"/>
        </w:trPr>
        <w:tc>
          <w:tcPr>
            <w:tcW w:w="849" w:type="dxa"/>
            <w:tcBorders>
              <w:top w:val="none" w:color="000000" w:sz="4" w:space="0"/>
            </w:tcBorders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1.2.6</w:t>
            </w:r>
          </w:p>
        </w:tc>
        <w:tc>
          <w:tcPr>
            <w:tcW w:w="2726" w:type="dxa"/>
            <w:gridSpan w:val="2"/>
            <w:tcBorders>
              <w:top w:val="none" w:color="000000" w:sz="4" w:space="0"/>
            </w:tcBorders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Повышение качества обработки обращений клиентов В2С по заключению договора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Разработка дополнительного механизма контроля за соблюдением сроков обраб</w:t>
            </w:r>
            <w:r>
              <w:rPr>
                <w:rFonts w:ascii="Liberation Serif" w:hAnsi="Liberation Serif" w:cs="Liberation Serif"/>
                <w:lang w:val="ru-RU"/>
              </w:rPr>
              <w:t xml:space="preserve">отки обращений клиентов В2С по заключению договора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постоянно</w:t>
            </w:r>
          </w:p>
        </w:tc>
        <w:tc>
          <w:tcPr>
            <w:tcW w:w="2551" w:type="dxa"/>
            <w:shd w:val="clear" w:color="ffffff" w:fill="ffffff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Сроки заключения договора соблюдаются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lang w:val="ru-RU"/>
              </w:rPr>
              <w:t xml:space="preserve">1.3</w:t>
            </w:r>
          </w:p>
        </w:tc>
        <w:tc>
          <w:tcPr>
            <w:tcW w:w="9778" w:type="dxa"/>
            <w:gridSpan w:val="6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bCs/>
                <w:lang w:val="ru-RU"/>
              </w:rPr>
              <w:t xml:space="preserve">Выездное  обслуживание</w:t>
            </w:r>
            <w:r>
              <w:rPr>
                <w:rFonts w:ascii="Liberation Serif" w:hAnsi="Liberation Serif" w:cs="Liberation Serif"/>
                <w:b/>
                <w:bCs/>
                <w:lang w:val="ru-RU"/>
              </w:rPr>
              <w:t xml:space="preserve"> клиентов В2С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lang w:val="ru-RU"/>
              </w:rPr>
              <w:t xml:space="preserve">2</w:t>
            </w:r>
          </w:p>
        </w:tc>
        <w:tc>
          <w:tcPr>
            <w:tcW w:w="9778" w:type="dxa"/>
            <w:gridSpan w:val="6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bCs/>
                <w:lang w:val="ru-RU"/>
              </w:rPr>
              <w:t xml:space="preserve">Дистанционное обслуживание 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lang w:val="ru-RU"/>
              </w:rPr>
              <w:t xml:space="preserve">2.1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rPr>
                <w:rFonts w:ascii="Liberation Serif" w:hAnsi="Liberation Serif" w:eastAsia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b/>
                <w:bCs/>
                <w:lang w:val="ru-RU"/>
              </w:rPr>
              <w:t xml:space="preserve">Обслуживание по телефону В2В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lang w:val="ru-RU"/>
              </w:rPr>
              <w:t xml:space="preserve">2.2</w:t>
            </w:r>
          </w:p>
        </w:tc>
        <w:tc>
          <w:tcPr>
            <w:tcW w:w="9778" w:type="dxa"/>
            <w:gridSpan w:val="6"/>
          </w:tcPr>
          <w:p>
            <w:pPr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  <w:lang w:val="ru-RU"/>
              </w:rPr>
              <w:t xml:space="preserve">Обслуживание по телефону В2С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2.3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lang w:val="ru-RU"/>
              </w:rPr>
              <w:t xml:space="preserve">Обслуживание письменных обращений на бумажном носителе В2В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</w:rPr>
            </w:pPr>
            <w:r>
              <w:rPr>
                <w:rFonts w:ascii="Liberation Serif" w:hAnsi="Liberation Serif" w:eastAsia="Liberation Serif" w:cs="Liberation Serif"/>
                <w:b/>
                <w:lang w:val="ru-RU"/>
              </w:rPr>
              <w:t xml:space="preserve">2.4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rPr>
                <w:rFonts w:ascii="Liberation Serif" w:hAnsi="Liberation Serif" w:eastAsia="Liberation Serif" w:cs="Liberation Serif"/>
                <w:b/>
                <w:color w:val="000000" w:themeColor="text1"/>
                <w:lang w:val="ru-RU"/>
              </w:rPr>
            </w:pPr>
            <w:r>
              <w:rPr>
                <w:rFonts w:ascii="Liberation Serif" w:hAnsi="Liberation Serif" w:cs="Liberation Serif"/>
                <w:b/>
                <w:lang w:val="ru-RU"/>
              </w:rPr>
              <w:t xml:space="preserve">Обслуживание письменных обращений на бумажном носителе В2С</w:t>
            </w:r>
          </w:p>
        </w:tc>
      </w:tr>
      <w:t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3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Интерактивное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обслуживание</w:t>
            </w:r>
          </w:p>
        </w:tc>
      </w:tr>
      <w:tr>
        <w:trPr>
          <w:trHeight w:val="228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.1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Обслуживание на официальном сайте В2В</w:t>
            </w:r>
          </w:p>
        </w:tc>
      </w:tr>
      <w:t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3.1.1</w:t>
            </w:r>
          </w:p>
        </w:tc>
        <w:tc>
          <w:tcPr>
            <w:tcW w:w="2726" w:type="dxa"/>
            <w:gridSpan w:val="2"/>
          </w:tcPr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Доработка чат-бота на официа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льном сайте ПАО «Саратовэнерго» в рамках оказания услуг ОКЦ в части часто задаваемых вопросов позволит минимизировать количество обращений клиентов в территориальные подразделения и предоставить интересующую информацию клиенту в рамках общения с чат-ботом.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Доработка сценариев Чата на сайте ПАО «Саратовэнерго» в части «часто задаваемых вопросов»</w:t>
            </w:r>
            <w:r>
              <w:rPr>
                <w:rFonts w:ascii="Liberation Serif" w:hAnsi="Liberation Serif" w:cs="Liberation Serif"/>
                <w:lang w:val="ru-RU"/>
              </w:rPr>
              <w:t xml:space="preserve"> корпоративных клиентов</w:t>
            </w:r>
          </w:p>
        </w:tc>
        <w:tc>
          <w:tcPr>
            <w:tcW w:w="1667" w:type="dxa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31.12.2026</w:t>
            </w:r>
          </w:p>
        </w:tc>
        <w:tc>
          <w:tcPr>
            <w:tcW w:w="2551" w:type="dxa"/>
          </w:tcPr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Введены в эксплуатацию сценарии (диалоги) чат – бота: 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1. Новости компании;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2. Жалоба на качество электрической энергии;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3. Информ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ация о задолженности;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4. Как искать информацию на сайте;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5.  Мобильное приложение ЛКК/Как я могу установить мобильное приложение;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6. Оформление заявки на коммерческую услугу/заказ коммерческих услуг/ коммерческие услуги.</w:t>
            </w:r>
          </w:p>
        </w:tc>
      </w:tr>
      <w:t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.2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Обслуживание на официальном сайте В2С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3.2.1</w:t>
            </w:r>
          </w:p>
        </w:tc>
        <w:tc>
          <w:tcPr>
            <w:tcW w:w="2726" w:type="dxa"/>
            <w:gridSpan w:val="2"/>
          </w:tcPr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Доработка чат-бота на официальном сайте ПАО «Саратовэнерго» в рамках оказания услуг ОКЦ в части часто задаваемых вопросов позволит минимизировать количество обращений клиентов в территориальные подразделения и п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редоставить интересующую информацию клиенту в рамках общения с чат-ботом.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Доработка сценариев чат-бота на сайте ПАО «Саратовэнерго» в части «часто задаваемых вопросов»</w:t>
            </w:r>
          </w:p>
        </w:tc>
        <w:tc>
          <w:tcPr>
            <w:tcW w:w="1667" w:type="dxa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31.12.202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6</w:t>
            </w:r>
          </w:p>
        </w:tc>
        <w:tc>
          <w:tcPr>
            <w:tcW w:w="2551" w:type="dxa"/>
          </w:tcPr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Введены в эксплуатацию сценарии (диалоги) чат – бота: 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 1. Жалоба на нарушени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е качества энергоснабжения;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2. Консультация по изменению условий договора;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3. Консультация о порядке передачи показаний;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4. Консультация по общим вопросам расчетов и начислений;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5. Консультация по расчетам и начислениям предыдущих периодов;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6. Консультация по выдаче справок;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7. Жалоба по доставке / получению бумажного ПД;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8. Жалоба по доставке/получению электронного ПД;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9. Консультация по общим вопросам оплаты;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10. Консультация по розыску платежа;</w:t>
            </w:r>
          </w:p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11. Консультация по изменению данных субъекта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;</w:t>
            </w:r>
          </w:p>
          <w:p>
            <w:pPr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12. Консультация по общим вопросам работы в ЛКК.</w:t>
            </w:r>
          </w:p>
        </w:tc>
      </w:tr>
      <w:t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.3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Обслуживание в Личном кабинете, в том числе в мобильном приложении В2В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3.3.</w:t>
            </w: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1</w:t>
            </w:r>
          </w:p>
        </w:tc>
        <w:tc>
          <w:tcPr>
            <w:tcW w:w="2726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Повышение качества обработки обращений по заключению договора</w:t>
            </w:r>
          </w:p>
        </w:tc>
        <w:tc>
          <w:tcPr>
            <w:tcW w:w="2834" w:type="dxa"/>
            <w:gridSpan w:val="2"/>
          </w:tcPr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Разработка дополнительного механизма контроля за соблюдением сроков обработки обращений клиентов В2В по заключению договора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постоянно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Сроки обработки обращений по вопросам заключения договора соблюдаются</w:t>
            </w:r>
          </w:p>
        </w:tc>
      </w:tr>
      <w:t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b/>
                <w:bCs/>
              </w:rPr>
              <w:t xml:space="preserve">.4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Обслуживание в Личном кабинете, в том числе в м</w:t>
            </w: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обильном приложении В2С</w:t>
            </w:r>
          </w:p>
        </w:tc>
      </w:tr>
      <w:t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3.4.1</w:t>
            </w:r>
          </w:p>
        </w:tc>
        <w:tc>
          <w:tcPr>
            <w:tcW w:w="2726" w:type="dxa"/>
            <w:gridSpan w:val="2"/>
          </w:tcPr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Организация мониторинга показателей качества обслуживания клиентов при направлении обращений через ЛКК</w:t>
            </w:r>
          </w:p>
        </w:tc>
        <w:tc>
          <w:tcPr>
            <w:tcW w:w="2834" w:type="dxa"/>
            <w:gridSpan w:val="2"/>
          </w:tcPr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Мониторинг показателей «время перебоев в работе платформы ЛКК ФЛ»; «Доля вопросов решенных с первого обращения» 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ежемесячно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ЛКК ФЛ работает без перебоев</w:t>
            </w:r>
          </w:p>
        </w:tc>
      </w:tr>
      <w:t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3.4.2</w:t>
            </w:r>
          </w:p>
        </w:tc>
        <w:tc>
          <w:tcPr>
            <w:tcW w:w="2726" w:type="dxa"/>
            <w:gridSpan w:val="2"/>
          </w:tcPr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Повышение качества обработки обращений клиентов В2С по заключению договора</w:t>
            </w:r>
          </w:p>
        </w:tc>
        <w:tc>
          <w:tcPr>
            <w:tcW w:w="2834" w:type="dxa"/>
            <w:gridSpan w:val="2"/>
          </w:tcPr>
          <w:p>
            <w:pPr>
              <w:rPr>
                <w:rFonts w:ascii="Liberation Serif" w:hAnsi="Liberation Serif" w:eastAsia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Разработка дополнительного механизма контроля за соблюдением сроков обработки обращений клиентов В2С по заключению договора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постоянно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Сроки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заключения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договора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соблюдаются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3.5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lang w:val="ru-RU"/>
              </w:rPr>
              <w:t xml:space="preserve">Обслуживание письменных обращений по электронной почте В2В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3.5.1</w:t>
            </w:r>
          </w:p>
        </w:tc>
        <w:tc>
          <w:tcPr>
            <w:tcW w:w="2726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Повышение качества обработки обращений по заключению договора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Повысить уровень качества обработки обращений по заключению договора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31.12.2026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color w:val="000000" w:themeColor="text1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lang w:val="ru-RU"/>
              </w:rPr>
              <w:t xml:space="preserve">Сроки заключения договора соблюдаются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3.6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lang w:val="ru-RU"/>
              </w:rPr>
              <w:t xml:space="preserve">Обслуживание письменных обращений по электронной почте В2С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3.6.1</w:t>
            </w:r>
          </w:p>
        </w:tc>
        <w:tc>
          <w:tcPr>
            <w:tcW w:w="268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Повышение качества обработки обращений клиентов В2С по заключению договора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Разработка дополнительного механизма контроля за соблюдением сроков обра</w:t>
            </w:r>
            <w:r>
              <w:rPr>
                <w:rFonts w:ascii="Liberation Serif" w:hAnsi="Liberation Serif" w:cs="Liberation Serif"/>
                <w:lang w:val="ru-RU"/>
              </w:rPr>
              <w:t xml:space="preserve">ботки обращений клиентов В2С по заключению договора</w:t>
            </w:r>
          </w:p>
        </w:tc>
        <w:tc>
          <w:tcPr>
            <w:tcW w:w="170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</w:rPr>
              <w:t xml:space="preserve">постоянно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</w:rPr>
            </w:pPr>
            <w:r>
              <w:rPr>
                <w:rFonts w:ascii="Liberation Serif" w:hAnsi="Liberation Serif" w:cs="Liberation Serif"/>
              </w:rPr>
              <w:t xml:space="preserve">Сроки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заключения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договора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соблюдаются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  <w:bCs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lang w:val="ru-RU"/>
              </w:rPr>
              <w:t xml:space="preserve">4.</w:t>
            </w:r>
          </w:p>
        </w:tc>
        <w:tc>
          <w:tcPr>
            <w:tcW w:w="9778" w:type="dxa"/>
            <w:gridSpan w:val="6"/>
          </w:tcPr>
          <w:p>
            <w:pPr>
              <w:contextualSpacing/>
              <w:jc w:val="both"/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lang w:val="ru-RU"/>
              </w:rPr>
              <w:t xml:space="preserve">Дистанционное информирование клиентов в социальных сетях и мессенджерах</w:t>
            </w:r>
          </w:p>
        </w:tc>
      </w:tr>
      <w:tr>
        <w:trPr>
          <w:trHeight w:val="276"/>
        </w:trPr>
        <w:tc>
          <w:tcPr>
            <w:tcW w:w="849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4.1</w:t>
            </w:r>
          </w:p>
        </w:tc>
        <w:tc>
          <w:tcPr>
            <w:tcW w:w="2726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Повышение качества информирования клиентов В2С/В2В</w:t>
            </w:r>
          </w:p>
        </w:tc>
        <w:tc>
          <w:tcPr>
            <w:tcW w:w="2834" w:type="dxa"/>
            <w:gridSpan w:val="2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Создание внешнего канала в мессенджере «МАХ» для ПАО «Саратовэнерго», для размещения актуальной информации для клиентов ФЛ/ЮЛ</w:t>
            </w:r>
          </w:p>
        </w:tc>
        <w:tc>
          <w:tcPr>
            <w:tcW w:w="1667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31.12.2026</w:t>
            </w:r>
          </w:p>
        </w:tc>
        <w:tc>
          <w:tcPr>
            <w:tcW w:w="2551" w:type="dxa"/>
          </w:tcPr>
          <w:p>
            <w:pPr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lang w:val="ru-RU"/>
              </w:rPr>
            </w:pPr>
            <w:r>
              <w:rPr>
                <w:rFonts w:ascii="Liberation Serif" w:hAnsi="Liberation Serif" w:eastAsia="Liberation Serif" w:cs="Liberation Serif"/>
                <w:lang w:val="ru-RU"/>
              </w:rPr>
              <w:t xml:space="preserve">Внедрен внешний канал в мессенджере «МАХ» для ПАО «Саратовэнерго»</w:t>
            </w:r>
          </w:p>
        </w:tc>
      </w:tr>
    </w:tbl>
    <w:p>
      <w:pPr>
        <w:contextualSpacing/>
        <w:jc w:val="both"/>
        <w:rPr>
          <w:rFonts w:ascii="Liberation Serif" w:hAnsi="Liberation Serif" w:cs="Liberation Serif"/>
          <w:lang w:val="ru-RU"/>
        </w:rPr>
        <w:sectPr>
          <w:headerReference w:type="default" r:id="rId9"/>
          <w:headerReference w:type="first" r:id="rId10"/>
          <w:pgSz w:w="11906" w:h="16838"/>
          <w:pgMar w:top="1418" w:right="737" w:bottom="1134" w:left="1134" w:header="709" w:footer="709" w:gutter="0"/>
          <w:pgNumType w:start="1"/>
          <w:cols w:space="708"/>
          <w:docGrid w:linePitch="360"/>
          <w:titlePg/>
        </w:sectPr>
      </w:pPr>
    </w:p>
    <w:p>
      <w:pPr>
        <w:contextualSpacing/>
        <w:jc w:val="both"/>
        <w:rPr>
          <w:rFonts w:ascii="Liberation Serif" w:hAnsi="Liberation Serif" w:cs="Liberation Serif"/>
          <w:lang w:val="ru-RU"/>
        </w:rPr>
      </w:pPr>
    </w:p>
    <w:sectPr>
      <w:pgSz w:w="11906" w:h="16838"/>
      <w:pgMar w:top="1418" w:right="737" w:bottom="1134" w:left="1134" w:header="709" w:footer="709" w:gutter="0"/>
      <w:pgNumType w:start="1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Liberation Serif">
    <w:panose1 w:val="02020603050405020304"/>
  </w:font>
  <w:font w:name="Cambria">
    <w:panose1 w:val="02040503050406030204"/>
  </w:font>
  <w:font w:name="Calibri">
    <w:panose1 w:val="020F0502020204030204"/>
  </w:font>
  <w:font w:name="Segoe UI">
    <w:panose1 w:val="020B0502040504020204"/>
  </w:font>
  <w:font w:name="Arial Unicode MS">
    <w:panose1 w:val="020B0506020203020204"/>
  </w:font>
  <w:font w:name="Arial">
    <w:panose1 w:val="020B0604020202020204"/>
  </w:font>
  <w:font w:name="Courier New">
    <w:panose1 w:val="020704090202050204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-1333445481"/>
      <w:docPartObj>
        <w:docPartGallery w:val="Page Numbers (Top of Page)"/>
        <w:docPartUnique w:val="true"/>
      </w:docPartObj>
    </w:sdtPr>
    <w:sdtContent>
      <w:p>
        <w:pPr>
          <w:pStyle w:val="af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</w:p>
    </w:sdtContent>
  </w:sdt>
  <w:tbl>
    <w:tblPr>
      <w:tblpPr w:horzAnchor="margin" w:tblpXSpec="left" w:vertAnchor="text" w:tblpY="181" w:leftFromText="180" w:rightFromText="180"/>
      <w:tblW w:w="97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3666"/>
      <w:gridCol w:w="5046"/>
      <w:gridCol w:w="1008"/>
    </w:tblGrid>
    <w:tr>
      <w:trPr>
        <w:cantSplit/>
        <w:trHeight w:val="699"/>
      </w:trPr>
      <w:tc>
        <w:tcPr>
          <w:tcW w:w="2945" w:type="dxa"/>
          <w:vAlign w:val="center"/>
        </w:tcPr>
        <w:p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0"/>
              <w:szCs w:val="20"/>
              <w:lang w:val="ru-RU" w:eastAsia="ru-RU"/>
            </w:rPr>
          </w:pPr>
          <w:r>
            <w:rPr>
              <w:lang w:val="ru-RU" w:eastAsia="ru-RU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90750" cy="400050"/>
                    <wp:effectExtent l="0" t="0" r="0" b="0"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84215222" name="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90749" cy="40005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2.50pt;height:31.50pt;mso-wrap-distance-left:0.00pt;mso-wrap-distance-top:0.00pt;mso-wrap-distance-right:0.00pt;mso-wrap-distance-bottom:0.00pt;" stroked="false">
                    <v:path textboxrect="0,0,0,0"/>
                    <v:imagedata r:id="rId1" o:title=""/>
                  </v:shape>
                </w:pict>
              </mc:Fallback>
            </mc:AlternateContent>
          </w:r>
        </w:p>
      </w:tc>
      <w:tc>
        <w:tcPr>
          <w:tcW w:w="5627" w:type="dxa"/>
          <w:vAlign w:val="center"/>
        </w:tcPr>
        <w:p>
          <w:pPr>
            <w:jc w:val="center"/>
            <w:rPr>
              <w:rFonts w:ascii="Liberation Serif" w:hAnsi="Liberation Serif" w:cs="Liberation Serif"/>
              <w:b/>
              <w:bCs/>
              <w:sz w:val="20"/>
              <w:szCs w:val="20"/>
              <w:lang w:val="ru-RU"/>
            </w:rPr>
          </w:pPr>
          <w:r>
            <w:rPr>
              <w:rFonts w:ascii="Liberation Serif" w:hAnsi="Liberation Serif" w:eastAsia="Liberation Serif" w:cs="Liberation Serif"/>
              <w:b/>
              <w:bCs/>
              <w:sz w:val="20"/>
              <w:szCs w:val="20"/>
              <w:lang w:val="ru-RU"/>
            </w:rPr>
            <w:t xml:space="preserve">Программа мероприятий по повышению качества обслуживания клиентов </w:t>
          </w:r>
        </w:p>
        <w:p>
          <w:pPr>
            <w:jc w:val="center"/>
            <w:rPr>
              <w:rFonts w:ascii="Liberation Serif" w:hAnsi="Liberation Serif" w:cs="Liberation Serif"/>
              <w:b/>
              <w:bCs/>
              <w:sz w:val="20"/>
              <w:szCs w:val="20"/>
            </w:rPr>
          </w:pPr>
          <w:r>
            <w:rPr>
              <w:rFonts w:ascii="Liberation Serif" w:hAnsi="Liberation Serif" w:eastAsia="Liberation Serif" w:cs="Liberation Serif"/>
              <w:b/>
              <w:bCs/>
              <w:sz w:val="20"/>
              <w:szCs w:val="20"/>
              <w:lang w:val="ru-RU"/>
            </w:rPr>
            <w:t xml:space="preserve">ПАО «Саратовэнерго» на 2026 год</w:t>
          </w:r>
        </w:p>
      </w:tc>
      <w:tc>
        <w:tcPr>
          <w:tcW w:w="1148" w:type="dxa"/>
          <w:vAlign w:val="center"/>
        </w:tcPr>
        <w:p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0"/>
              <w:szCs w:val="20"/>
              <w:lang w:val="ru-RU" w:eastAsia="ru-RU"/>
            </w:rPr>
          </w:pPr>
        </w:p>
      </w:tc>
    </w:tr>
  </w:tbl>
  <w:p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pPr w:horzAnchor="margin" w:tblpXSpec="left" w:vertAnchor="text" w:tblpY="181" w:leftFromText="180" w:rightFromText="180"/>
      <w:tblW w:w="97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3666"/>
      <w:gridCol w:w="5046"/>
      <w:gridCol w:w="1008"/>
    </w:tblGrid>
    <w:tr>
      <w:trPr>
        <w:cantSplit/>
        <w:trHeight w:val="699"/>
      </w:trPr>
      <w:tc>
        <w:tcPr>
          <w:tcW w:w="2945" w:type="dxa"/>
          <w:vAlign w:val="center"/>
        </w:tcPr>
        <w:p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0"/>
              <w:szCs w:val="20"/>
              <w:lang w:val="ru-RU" w:eastAsia="ru-RU"/>
            </w:rPr>
          </w:pPr>
          <w:r>
            <w:rPr>
              <w:lang w:val="ru-RU" w:eastAsia="ru-RU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90750" cy="400050"/>
                    <wp:effectExtent l="0" t="0" r="0" b="0"/>
                    <wp:docPr id="2" name="Рисунок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719536084" name="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90749" cy="40005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width:172.50pt;height:31.50pt;mso-wrap-distance-left:0.00pt;mso-wrap-distance-top:0.00pt;mso-wrap-distance-right:0.00pt;mso-wrap-distance-bottom:0.00pt;" stroked="false">
                    <v:path textboxrect="0,0,0,0"/>
                    <v:imagedata r:id="rId1" o:title=""/>
                  </v:shape>
                </w:pict>
              </mc:Fallback>
            </mc:AlternateContent>
          </w:r>
        </w:p>
      </w:tc>
      <w:tc>
        <w:tcPr>
          <w:tcW w:w="5627" w:type="dxa"/>
          <w:vAlign w:val="center"/>
        </w:tcPr>
        <w:p>
          <w:pPr>
            <w:jc w:val="center"/>
            <w:rPr>
              <w:rFonts w:ascii="Liberation Serif" w:hAnsi="Liberation Serif" w:cs="Liberation Serif"/>
              <w:b/>
              <w:bCs/>
              <w:sz w:val="20"/>
              <w:szCs w:val="20"/>
              <w:lang w:val="ru-RU"/>
            </w:rPr>
          </w:pPr>
          <w:r>
            <w:rPr>
              <w:rFonts w:ascii="Liberation Serif" w:hAnsi="Liberation Serif" w:eastAsia="Liberation Serif" w:cs="Liberation Serif"/>
              <w:b/>
              <w:bCs/>
              <w:sz w:val="20"/>
              <w:szCs w:val="20"/>
              <w:lang w:val="ru-RU"/>
            </w:rPr>
            <w:t xml:space="preserve">Программа мероприятий по повышению качества обслуживания клиентов </w:t>
          </w:r>
        </w:p>
        <w:p>
          <w:pPr>
            <w:jc w:val="center"/>
            <w:rPr>
              <w:rFonts w:ascii="Liberation Serif" w:hAnsi="Liberation Serif" w:cs="Liberation Serif"/>
              <w:b/>
              <w:bCs/>
              <w:sz w:val="20"/>
              <w:szCs w:val="20"/>
            </w:rPr>
          </w:pPr>
          <w:r>
            <w:rPr>
              <w:rFonts w:ascii="Liberation Serif" w:hAnsi="Liberation Serif" w:eastAsia="Liberation Serif" w:cs="Liberation Serif"/>
              <w:b/>
              <w:bCs/>
              <w:sz w:val="20"/>
              <w:szCs w:val="20"/>
              <w:lang w:val="ru-RU"/>
            </w:rPr>
            <w:t xml:space="preserve">ПАО «Саратовэнерго» на 2026 год</w:t>
          </w:r>
        </w:p>
      </w:tc>
      <w:tc>
        <w:tcPr>
          <w:tcW w:w="1148" w:type="dxa"/>
          <w:vAlign w:val="center"/>
        </w:tcPr>
        <w:p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0"/>
              <w:szCs w:val="20"/>
              <w:lang w:val="ru-RU" w:eastAsia="ru-RU"/>
            </w:rPr>
          </w:pPr>
        </w:p>
      </w:tc>
    </w:tr>
  </w:tbl>
  <w:p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50DA3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4C14BA">
      <w:start w:val="1"/>
      <w:numFmt w:val="lowerLetter"/>
      <w:lvlText w:val="%2."/>
      <w:lvlJc w:val="left"/>
      <w:pPr>
        <w:ind w:left="1440" w:hanging="360"/>
      </w:pPr>
    </w:lvl>
    <w:lvl w:ilvl="2" w:tplc="A64E6762">
      <w:start w:val="1"/>
      <w:numFmt w:val="lowerRoman"/>
      <w:lvlText w:val="%3."/>
      <w:lvlJc w:val="right"/>
      <w:pPr>
        <w:ind w:left="2160" w:hanging="180"/>
      </w:pPr>
    </w:lvl>
    <w:lvl w:ilvl="3" w:tplc="8E5CCFDA">
      <w:start w:val="1"/>
      <w:numFmt w:val="decimal"/>
      <w:lvlText w:val="%4."/>
      <w:lvlJc w:val="left"/>
      <w:pPr>
        <w:ind w:left="2880" w:hanging="360"/>
      </w:pPr>
    </w:lvl>
    <w:lvl w:ilvl="4" w:tplc="6A442DB0">
      <w:start w:val="1"/>
      <w:numFmt w:val="lowerLetter"/>
      <w:lvlText w:val="%5."/>
      <w:lvlJc w:val="left"/>
      <w:pPr>
        <w:ind w:left="3600" w:hanging="360"/>
      </w:pPr>
    </w:lvl>
    <w:lvl w:ilvl="5" w:tplc="08CE0AF0">
      <w:start w:val="1"/>
      <w:numFmt w:val="lowerRoman"/>
      <w:lvlText w:val="%6."/>
      <w:lvlJc w:val="right"/>
      <w:pPr>
        <w:ind w:left="4320" w:hanging="180"/>
      </w:pPr>
    </w:lvl>
    <w:lvl w:ilvl="6" w:tplc="0FC2C94E">
      <w:start w:val="1"/>
      <w:numFmt w:val="decimal"/>
      <w:lvlText w:val="%7."/>
      <w:lvlJc w:val="left"/>
      <w:pPr>
        <w:ind w:left="5040" w:hanging="360"/>
      </w:pPr>
    </w:lvl>
    <w:lvl w:ilvl="7" w:tplc="395AB74C">
      <w:start w:val="1"/>
      <w:numFmt w:val="lowerLetter"/>
      <w:lvlText w:val="%8."/>
      <w:lvlJc w:val="left"/>
      <w:pPr>
        <w:ind w:left="5760" w:hanging="360"/>
      </w:pPr>
    </w:lvl>
    <w:lvl w:ilvl="8" w:tplc="55C609A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plc="0D90A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7ACA1A">
      <w:start w:val="1"/>
      <w:numFmt w:val="lowerLetter"/>
      <w:lvlText w:val="%2."/>
      <w:lvlJc w:val="left"/>
      <w:pPr>
        <w:ind w:left="1440" w:hanging="360"/>
      </w:pPr>
    </w:lvl>
    <w:lvl w:ilvl="2" w:tplc="DC8C6F1C">
      <w:start w:val="1"/>
      <w:numFmt w:val="lowerRoman"/>
      <w:lvlText w:val="%3."/>
      <w:lvlJc w:val="right"/>
      <w:pPr>
        <w:ind w:left="2160" w:hanging="180"/>
      </w:pPr>
    </w:lvl>
    <w:lvl w:ilvl="3" w:tplc="146607A4">
      <w:start w:val="1"/>
      <w:numFmt w:val="decimal"/>
      <w:lvlText w:val="%4."/>
      <w:lvlJc w:val="left"/>
      <w:pPr>
        <w:ind w:left="2880" w:hanging="360"/>
      </w:pPr>
    </w:lvl>
    <w:lvl w:ilvl="4" w:tplc="9B12B0CC">
      <w:start w:val="1"/>
      <w:numFmt w:val="lowerLetter"/>
      <w:lvlText w:val="%5."/>
      <w:lvlJc w:val="left"/>
      <w:pPr>
        <w:ind w:left="3600" w:hanging="360"/>
      </w:pPr>
    </w:lvl>
    <w:lvl w:ilvl="5" w:tplc="251C16DA">
      <w:start w:val="1"/>
      <w:numFmt w:val="lowerRoman"/>
      <w:lvlText w:val="%6."/>
      <w:lvlJc w:val="right"/>
      <w:pPr>
        <w:ind w:left="4320" w:hanging="180"/>
      </w:pPr>
    </w:lvl>
    <w:lvl w:ilvl="6" w:tplc="3210F278">
      <w:start w:val="1"/>
      <w:numFmt w:val="decimal"/>
      <w:lvlText w:val="%7."/>
      <w:lvlJc w:val="left"/>
      <w:pPr>
        <w:ind w:left="5040" w:hanging="360"/>
      </w:pPr>
    </w:lvl>
    <w:lvl w:ilvl="7" w:tplc="9B826116">
      <w:start w:val="1"/>
      <w:numFmt w:val="lowerLetter"/>
      <w:lvlText w:val="%8."/>
      <w:lvlJc w:val="left"/>
      <w:pPr>
        <w:ind w:left="5760" w:hanging="360"/>
      </w:pPr>
    </w:lvl>
    <w:lvl w:ilvl="8" w:tplc="178E0C2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plc="EB828D84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hint="default" w:ascii="Symbol" w:hAnsi="Symbol" w:cs="Symbol"/>
      </w:rPr>
    </w:lvl>
    <w:lvl w:ilvl="1" w:tplc="A7142CA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A7026A1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51F4513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E83E289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85767886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2C9A5ED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8AA44C1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D826C15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 w:tplc="AF40A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A232B4">
      <w:start w:val="1"/>
      <w:numFmt w:val="lowerLetter"/>
      <w:lvlText w:val="%2."/>
      <w:lvlJc w:val="left"/>
      <w:pPr>
        <w:ind w:left="1440" w:hanging="360"/>
      </w:pPr>
    </w:lvl>
    <w:lvl w:ilvl="2" w:tplc="86722C2E">
      <w:start w:val="1"/>
      <w:numFmt w:val="lowerRoman"/>
      <w:lvlText w:val="%3."/>
      <w:lvlJc w:val="right"/>
      <w:pPr>
        <w:ind w:left="2160" w:hanging="180"/>
      </w:pPr>
    </w:lvl>
    <w:lvl w:ilvl="3" w:tplc="448AC886">
      <w:start w:val="1"/>
      <w:numFmt w:val="decimal"/>
      <w:lvlText w:val="%4."/>
      <w:lvlJc w:val="left"/>
      <w:pPr>
        <w:ind w:left="2880" w:hanging="360"/>
      </w:pPr>
    </w:lvl>
    <w:lvl w:ilvl="4" w:tplc="67D82432">
      <w:start w:val="1"/>
      <w:numFmt w:val="lowerLetter"/>
      <w:lvlText w:val="%5."/>
      <w:lvlJc w:val="left"/>
      <w:pPr>
        <w:ind w:left="3600" w:hanging="360"/>
      </w:pPr>
    </w:lvl>
    <w:lvl w:ilvl="5" w:tplc="ECB6813E">
      <w:start w:val="1"/>
      <w:numFmt w:val="lowerRoman"/>
      <w:lvlText w:val="%6."/>
      <w:lvlJc w:val="right"/>
      <w:pPr>
        <w:ind w:left="4320" w:hanging="180"/>
      </w:pPr>
    </w:lvl>
    <w:lvl w:ilvl="6" w:tplc="A6A6D4EE">
      <w:start w:val="1"/>
      <w:numFmt w:val="decimal"/>
      <w:lvlText w:val="%7."/>
      <w:lvlJc w:val="left"/>
      <w:pPr>
        <w:ind w:left="5040" w:hanging="360"/>
      </w:pPr>
    </w:lvl>
    <w:lvl w:ilvl="7" w:tplc="673AB4F8">
      <w:start w:val="1"/>
      <w:numFmt w:val="lowerLetter"/>
      <w:lvlText w:val="%8."/>
      <w:lvlJc w:val="left"/>
      <w:pPr>
        <w:ind w:left="5760" w:hanging="360"/>
      </w:pPr>
    </w:lvl>
    <w:lvl w:ilvl="8" w:tplc="2D321BC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plc="177A014C">
      <w:start w:val="1"/>
      <w:numFmt w:val="bullet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2"/>
      </w:rPr>
    </w:lvl>
    <w:lvl w:ilvl="1" w:tplc="1FF2064A">
      <w:start w:val="1"/>
      <w:numFmt w:val="bullet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2"/>
      </w:rPr>
    </w:lvl>
    <w:lvl w:ilvl="2" w:tplc="A41E9F1A">
      <w:start w:val="1"/>
      <w:numFmt w:val="bullet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2"/>
      </w:rPr>
    </w:lvl>
    <w:lvl w:ilvl="3" w:tplc="17F0B0EA">
      <w:start w:val="1"/>
      <w:numFmt w:val="bullet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2"/>
      </w:rPr>
    </w:lvl>
    <w:lvl w:ilvl="4" w:tplc="A3741BF4">
      <w:start w:val="1"/>
      <w:numFmt w:val="bullet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2"/>
      </w:rPr>
    </w:lvl>
    <w:lvl w:ilvl="5" w:tplc="B52017CA">
      <w:start w:val="1"/>
      <w:numFmt w:val="bullet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2"/>
      </w:rPr>
    </w:lvl>
    <w:lvl w:ilvl="6" w:tplc="101C460C">
      <w:start w:val="1"/>
      <w:numFmt w:val="bullet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2"/>
      </w:rPr>
    </w:lvl>
    <w:lvl w:ilvl="7" w:tplc="95C8A3A4">
      <w:start w:val="1"/>
      <w:numFmt w:val="bullet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2"/>
      </w:rPr>
    </w:lvl>
    <w:lvl w:ilvl="8" w:tplc="756064D8">
      <w:start w:val="1"/>
      <w:numFmt w:val="bullet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2"/>
      </w:rPr>
    </w:lvl>
  </w:abstractNum>
  <w:abstractNum w:abstractNumId="5">
    <w:multiLevelType w:val="hybridMultilevel"/>
    <w:lvl w:ilvl="0" w:tplc="682CD35C">
      <w:start w:val="1"/>
      <w:numFmt w:val="bullet"/>
      <w:lvlText w:val="§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F6B636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897843EC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0C0CAD3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C3D451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5570FD2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6D1C4836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C674E6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2C7AB0BA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 w:tplc="203CF6B2">
      <w:start w:val="1"/>
      <w:numFmt w:val="bullet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 w:tplc="D1E49B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48DC7C6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F1BC4C06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1220C0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1310914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E12615FA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94B8CB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CF22E7D6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 w:tplc="8A86D564">
      <w:start w:val="1"/>
      <w:numFmt w:val="bullet"/>
      <w:lvlText w:val=""/>
      <w:lvlJc w:val="left"/>
      <w:pPr>
        <w:tabs>
          <w:tab w:val="num" w:pos="0"/>
        </w:tabs>
        <w:ind w:left="1350" w:hanging="360"/>
      </w:pPr>
      <w:rPr>
        <w:rFonts w:hint="default" w:ascii="Symbol" w:hAnsi="Symbol" w:cs="Symbol"/>
      </w:rPr>
    </w:lvl>
    <w:lvl w:ilvl="1" w:tplc="09541BDA">
      <w:start w:val="1"/>
      <w:numFmt w:val="bullet"/>
      <w:lvlText w:val="o"/>
      <w:lvlJc w:val="left"/>
      <w:pPr>
        <w:tabs>
          <w:tab w:val="num" w:pos="0"/>
        </w:tabs>
        <w:ind w:left="2070" w:hanging="360"/>
      </w:pPr>
      <w:rPr>
        <w:rFonts w:hint="default" w:ascii="Courier New" w:hAnsi="Courier New" w:cs="Courier New"/>
      </w:rPr>
    </w:lvl>
    <w:lvl w:ilvl="2" w:tplc="C46AA17C">
      <w:start w:val="1"/>
      <w:numFmt w:val="bullet"/>
      <w:lvlText w:val=""/>
      <w:lvlJc w:val="left"/>
      <w:pPr>
        <w:tabs>
          <w:tab w:val="num" w:pos="0"/>
        </w:tabs>
        <w:ind w:left="2790" w:hanging="360"/>
      </w:pPr>
      <w:rPr>
        <w:rFonts w:hint="default" w:ascii="Wingdings" w:hAnsi="Wingdings" w:cs="Wingdings"/>
      </w:rPr>
    </w:lvl>
    <w:lvl w:ilvl="3" w:tplc="8C783CB4">
      <w:start w:val="1"/>
      <w:numFmt w:val="bullet"/>
      <w:lvlText w:val=""/>
      <w:lvlJc w:val="left"/>
      <w:pPr>
        <w:tabs>
          <w:tab w:val="num" w:pos="0"/>
        </w:tabs>
        <w:ind w:left="3510" w:hanging="360"/>
      </w:pPr>
      <w:rPr>
        <w:rFonts w:hint="default" w:ascii="Symbol" w:hAnsi="Symbol" w:cs="Symbol"/>
      </w:rPr>
    </w:lvl>
    <w:lvl w:ilvl="4" w:tplc="4FFAA4D8">
      <w:start w:val="1"/>
      <w:numFmt w:val="bullet"/>
      <w:lvlText w:val="o"/>
      <w:lvlJc w:val="left"/>
      <w:pPr>
        <w:tabs>
          <w:tab w:val="num" w:pos="0"/>
        </w:tabs>
        <w:ind w:left="4230" w:hanging="360"/>
      </w:pPr>
      <w:rPr>
        <w:rFonts w:hint="default" w:ascii="Courier New" w:hAnsi="Courier New" w:cs="Courier New"/>
      </w:rPr>
    </w:lvl>
    <w:lvl w:ilvl="5" w:tplc="8A4E500E">
      <w:start w:val="1"/>
      <w:numFmt w:val="bullet"/>
      <w:lvlText w:val=""/>
      <w:lvlJc w:val="left"/>
      <w:pPr>
        <w:tabs>
          <w:tab w:val="num" w:pos="0"/>
        </w:tabs>
        <w:ind w:left="4950" w:hanging="360"/>
      </w:pPr>
      <w:rPr>
        <w:rFonts w:hint="default" w:ascii="Wingdings" w:hAnsi="Wingdings" w:cs="Wingdings"/>
      </w:rPr>
    </w:lvl>
    <w:lvl w:ilvl="6" w:tplc="92FEB024">
      <w:start w:val="1"/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hint="default" w:ascii="Symbol" w:hAnsi="Symbol" w:cs="Symbol"/>
      </w:rPr>
    </w:lvl>
    <w:lvl w:ilvl="7" w:tplc="D88C1234">
      <w:start w:val="1"/>
      <w:numFmt w:val="bullet"/>
      <w:lvlText w:val="o"/>
      <w:lvlJc w:val="left"/>
      <w:pPr>
        <w:tabs>
          <w:tab w:val="num" w:pos="0"/>
        </w:tabs>
        <w:ind w:left="6390" w:hanging="360"/>
      </w:pPr>
      <w:rPr>
        <w:rFonts w:hint="default" w:ascii="Courier New" w:hAnsi="Courier New" w:cs="Courier New"/>
      </w:rPr>
    </w:lvl>
    <w:lvl w:ilvl="8" w:tplc="91CCC7D6">
      <w:start w:val="1"/>
      <w:numFmt w:val="bullet"/>
      <w:lvlText w:val=""/>
      <w:lvlJc w:val="left"/>
      <w:pPr>
        <w:tabs>
          <w:tab w:val="num" w:pos="0"/>
        </w:tabs>
        <w:ind w:left="7110" w:hanging="360"/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 w:tplc="C2DAA89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hint="default" w:ascii="Symbol" w:hAnsi="Symbol" w:cs="Symbol"/>
      </w:rPr>
    </w:lvl>
    <w:lvl w:ilvl="1" w:tplc="15F80AB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9B4634AA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E570B17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930E00F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65BC7DB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B774832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F4D05F6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3880E1A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9">
    <w:multiLevelType w:val="hybridMultilevel"/>
    <w:lvl w:ilvl="0" w:tplc="694ADE26">
      <w:start w:val="1"/>
      <w:numFmt w:val="bullet"/>
      <w:lvlText w:val=""/>
      <w:lvlJc w:val="left"/>
      <w:pPr>
        <w:tabs>
          <w:tab w:val="num" w:pos="0"/>
        </w:tabs>
        <w:ind w:left="1710" w:hanging="360"/>
      </w:pPr>
      <w:rPr>
        <w:rFonts w:hint="default" w:ascii="Wingdings" w:hAnsi="Wingdings" w:cs="Wingdings"/>
      </w:rPr>
    </w:lvl>
    <w:lvl w:ilvl="1" w:tplc="E318B278">
      <w:start w:val="1"/>
      <w:numFmt w:val="bullet"/>
      <w:lvlText w:val="o"/>
      <w:lvlJc w:val="left"/>
      <w:pPr>
        <w:tabs>
          <w:tab w:val="num" w:pos="0"/>
        </w:tabs>
        <w:ind w:left="2430" w:hanging="360"/>
      </w:pPr>
      <w:rPr>
        <w:rFonts w:hint="default" w:ascii="Courier New" w:hAnsi="Courier New" w:cs="Courier New"/>
      </w:rPr>
    </w:lvl>
    <w:lvl w:ilvl="2" w:tplc="3526708E">
      <w:start w:val="1"/>
      <w:numFmt w:val="bullet"/>
      <w:lvlText w:val=""/>
      <w:lvlJc w:val="left"/>
      <w:pPr>
        <w:tabs>
          <w:tab w:val="num" w:pos="0"/>
        </w:tabs>
        <w:ind w:left="3150" w:hanging="360"/>
      </w:pPr>
      <w:rPr>
        <w:rFonts w:hint="default" w:ascii="Wingdings" w:hAnsi="Wingdings" w:cs="Wingdings"/>
      </w:rPr>
    </w:lvl>
    <w:lvl w:ilvl="3" w:tplc="5C12BB8A">
      <w:start w:val="1"/>
      <w:numFmt w:val="bullet"/>
      <w:lvlText w:val=""/>
      <w:lvlJc w:val="left"/>
      <w:pPr>
        <w:tabs>
          <w:tab w:val="num" w:pos="0"/>
        </w:tabs>
        <w:ind w:left="3870" w:hanging="360"/>
      </w:pPr>
      <w:rPr>
        <w:rFonts w:hint="default" w:ascii="Symbol" w:hAnsi="Symbol" w:cs="Symbol"/>
      </w:rPr>
    </w:lvl>
    <w:lvl w:ilvl="4" w:tplc="24DA0DA8">
      <w:start w:val="1"/>
      <w:numFmt w:val="bullet"/>
      <w:lvlText w:val="o"/>
      <w:lvlJc w:val="left"/>
      <w:pPr>
        <w:tabs>
          <w:tab w:val="num" w:pos="0"/>
        </w:tabs>
        <w:ind w:left="4590" w:hanging="360"/>
      </w:pPr>
      <w:rPr>
        <w:rFonts w:hint="default" w:ascii="Courier New" w:hAnsi="Courier New" w:cs="Courier New"/>
      </w:rPr>
    </w:lvl>
    <w:lvl w:ilvl="5" w:tplc="365A89EA">
      <w:start w:val="1"/>
      <w:numFmt w:val="bullet"/>
      <w:lvlText w:val=""/>
      <w:lvlJc w:val="left"/>
      <w:pPr>
        <w:tabs>
          <w:tab w:val="num" w:pos="0"/>
        </w:tabs>
        <w:ind w:left="5310" w:hanging="360"/>
      </w:pPr>
      <w:rPr>
        <w:rFonts w:hint="default" w:ascii="Wingdings" w:hAnsi="Wingdings" w:cs="Wingdings"/>
      </w:rPr>
    </w:lvl>
    <w:lvl w:ilvl="6" w:tplc="7690D5C6">
      <w:start w:val="1"/>
      <w:numFmt w:val="bullet"/>
      <w:lvlText w:val=""/>
      <w:lvlJc w:val="left"/>
      <w:pPr>
        <w:tabs>
          <w:tab w:val="num" w:pos="0"/>
        </w:tabs>
        <w:ind w:left="6030" w:hanging="360"/>
      </w:pPr>
      <w:rPr>
        <w:rFonts w:hint="default" w:ascii="Symbol" w:hAnsi="Symbol" w:cs="Symbol"/>
      </w:rPr>
    </w:lvl>
    <w:lvl w:ilvl="7" w:tplc="B0C03032">
      <w:start w:val="1"/>
      <w:numFmt w:val="bullet"/>
      <w:lvlText w:val="o"/>
      <w:lvlJc w:val="left"/>
      <w:pPr>
        <w:tabs>
          <w:tab w:val="num" w:pos="0"/>
        </w:tabs>
        <w:ind w:left="6750" w:hanging="360"/>
      </w:pPr>
      <w:rPr>
        <w:rFonts w:hint="default" w:ascii="Courier New" w:hAnsi="Courier New" w:cs="Courier New"/>
      </w:rPr>
    </w:lvl>
    <w:lvl w:ilvl="8" w:tplc="336ADA4A">
      <w:start w:val="1"/>
      <w:numFmt w:val="bullet"/>
      <w:lvlText w:val=""/>
      <w:lvlJc w:val="left"/>
      <w:pPr>
        <w:tabs>
          <w:tab w:val="num" w:pos="0"/>
        </w:tabs>
        <w:ind w:left="7470" w:hanging="360"/>
      </w:pPr>
      <w:rPr>
        <w:rFonts w:hint="default" w:ascii="Wingdings" w:hAnsi="Wingdings" w:cs="Wingdings"/>
      </w:rPr>
    </w:lvl>
  </w:abstractNum>
  <w:abstractNum w:abstractNumId="10">
    <w:multiLevelType w:val="hybridMultilevel"/>
    <w:lvl w:ilvl="0" w:tplc="5672ADDC">
      <w:start w:val="1"/>
      <w:numFmt w:val="bullet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 w:tplc="5A26DF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C2C23604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880CA0E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59BCEE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D3D8A22C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079EB8B4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5BB6D5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9C0E3E18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 w:tplc="8E1427F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color w:val="000000" w:themeColor="text1"/>
      </w:rPr>
    </w:lvl>
    <w:lvl w:ilvl="1" w:tplc="0A0E37C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E7CC2F6C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9D5A200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0396F58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78A6EFC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CF32507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A2947212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78A840B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12">
    <w:multiLevelType w:val="hybridMultilevel"/>
    <w:lvl w:ilvl="0" w:tplc="287ED4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D0D3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34EE9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900D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4E2E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7CC890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80CE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AABE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F944E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 w:tplc="BBB46EBC">
      <w:start w:val="1"/>
      <w:numFmt w:val="bullet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 w:tplc="9E9A03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48EAA6A6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C300915C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E8D829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648EF1B4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0E16AD12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3C168C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EDAED866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 w:tplc="9D6EF26A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hint="default" w:ascii="Symbol" w:hAnsi="Symbol"/>
        <w:color w:val="000000" w:themeColor="text1"/>
      </w:rPr>
    </w:lvl>
    <w:lvl w:ilvl="1" w:tplc="6F5ED7F8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hint="default" w:ascii="Courier New" w:hAnsi="Courier New" w:cs="Courier New"/>
      </w:rPr>
    </w:lvl>
    <w:lvl w:ilvl="2" w:tplc="F852EA20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hint="default" w:ascii="Wingdings" w:hAnsi="Wingdings" w:cs="Wingdings"/>
      </w:rPr>
    </w:lvl>
    <w:lvl w:ilvl="3" w:tplc="9174997C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hint="default" w:ascii="Symbol" w:hAnsi="Symbol" w:cs="Symbol"/>
      </w:rPr>
    </w:lvl>
    <w:lvl w:ilvl="4" w:tplc="CE6219B8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hint="default" w:ascii="Courier New" w:hAnsi="Courier New" w:cs="Courier New"/>
      </w:rPr>
    </w:lvl>
    <w:lvl w:ilvl="5" w:tplc="1D8AAAF4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hint="default" w:ascii="Wingdings" w:hAnsi="Wingdings" w:cs="Wingdings"/>
      </w:rPr>
    </w:lvl>
    <w:lvl w:ilvl="6" w:tplc="FB9E924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hint="default" w:ascii="Symbol" w:hAnsi="Symbol" w:cs="Symbol"/>
      </w:rPr>
    </w:lvl>
    <w:lvl w:ilvl="7" w:tplc="2370D5CC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hint="default" w:ascii="Courier New" w:hAnsi="Courier New" w:cs="Courier New"/>
      </w:rPr>
    </w:lvl>
    <w:lvl w:ilvl="8" w:tplc="89DC38E6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hint="default" w:ascii="Wingdings" w:hAnsi="Wingdings" w:cs="Wingdings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>
    <w:multiLevelType w:val="hybridMultilevel"/>
    <w:lvl w:ilvl="0" w:tplc="60868A8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color w:val="000000" w:themeColor="text1"/>
      </w:rPr>
    </w:lvl>
    <w:lvl w:ilvl="1" w:tplc="E1AE5EA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10C49F5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864EF172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2B360BA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AF5CED5C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63C27AD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F874273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EC4CA61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 w:tplc="358A3BC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color w:val="000000" w:themeColor="text1"/>
      </w:rPr>
    </w:lvl>
    <w:lvl w:ilvl="1" w:tplc="021E82C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31AE3D2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9460CE0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C3CA9F0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CC12755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47E4645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63A4F22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367EE3B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 w:tplc="15D04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32D680">
      <w:start w:val="1"/>
      <w:numFmt w:val="lowerLetter"/>
      <w:lvlText w:val="%2."/>
      <w:lvlJc w:val="left"/>
      <w:pPr>
        <w:ind w:left="1440" w:hanging="360"/>
      </w:pPr>
    </w:lvl>
    <w:lvl w:ilvl="2" w:tplc="711A8BC8">
      <w:start w:val="1"/>
      <w:numFmt w:val="lowerRoman"/>
      <w:lvlText w:val="%3."/>
      <w:lvlJc w:val="right"/>
      <w:pPr>
        <w:ind w:left="2160" w:hanging="180"/>
      </w:pPr>
    </w:lvl>
    <w:lvl w:ilvl="3" w:tplc="1D581634">
      <w:start w:val="1"/>
      <w:numFmt w:val="decimal"/>
      <w:lvlText w:val="%4."/>
      <w:lvlJc w:val="left"/>
      <w:pPr>
        <w:ind w:left="2880" w:hanging="360"/>
      </w:pPr>
    </w:lvl>
    <w:lvl w:ilvl="4" w:tplc="4920E19A">
      <w:start w:val="1"/>
      <w:numFmt w:val="lowerLetter"/>
      <w:lvlText w:val="%5."/>
      <w:lvlJc w:val="left"/>
      <w:pPr>
        <w:ind w:left="3600" w:hanging="360"/>
      </w:pPr>
    </w:lvl>
    <w:lvl w:ilvl="5" w:tplc="51C43482">
      <w:start w:val="1"/>
      <w:numFmt w:val="lowerRoman"/>
      <w:lvlText w:val="%6."/>
      <w:lvlJc w:val="right"/>
      <w:pPr>
        <w:ind w:left="4320" w:hanging="180"/>
      </w:pPr>
    </w:lvl>
    <w:lvl w:ilvl="6" w:tplc="F09ADED2">
      <w:start w:val="1"/>
      <w:numFmt w:val="decimal"/>
      <w:lvlText w:val="%7."/>
      <w:lvlJc w:val="left"/>
      <w:pPr>
        <w:ind w:left="5040" w:hanging="360"/>
      </w:pPr>
    </w:lvl>
    <w:lvl w:ilvl="7" w:tplc="ADF624D2">
      <w:start w:val="1"/>
      <w:numFmt w:val="lowerLetter"/>
      <w:lvlText w:val="%8."/>
      <w:lvlJc w:val="left"/>
      <w:pPr>
        <w:ind w:left="5760" w:hanging="360"/>
      </w:pPr>
    </w:lvl>
    <w:lvl w:ilvl="8" w:tplc="13A4F816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 w:tplc="A0CAD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3A9904">
      <w:start w:val="1"/>
      <w:numFmt w:val="lowerLetter"/>
      <w:lvlText w:val="%2."/>
      <w:lvlJc w:val="left"/>
      <w:pPr>
        <w:ind w:left="1440" w:hanging="360"/>
      </w:pPr>
    </w:lvl>
    <w:lvl w:ilvl="2" w:tplc="ADF2A84C">
      <w:start w:val="1"/>
      <w:numFmt w:val="lowerRoman"/>
      <w:lvlText w:val="%3."/>
      <w:lvlJc w:val="right"/>
      <w:pPr>
        <w:ind w:left="2160" w:hanging="180"/>
      </w:pPr>
    </w:lvl>
    <w:lvl w:ilvl="3" w:tplc="06EE17D8">
      <w:start w:val="1"/>
      <w:numFmt w:val="decimal"/>
      <w:lvlText w:val="%4."/>
      <w:lvlJc w:val="left"/>
      <w:pPr>
        <w:ind w:left="2880" w:hanging="360"/>
      </w:pPr>
    </w:lvl>
    <w:lvl w:ilvl="4" w:tplc="2BB29714">
      <w:start w:val="1"/>
      <w:numFmt w:val="lowerLetter"/>
      <w:lvlText w:val="%5."/>
      <w:lvlJc w:val="left"/>
      <w:pPr>
        <w:ind w:left="3600" w:hanging="360"/>
      </w:pPr>
    </w:lvl>
    <w:lvl w:ilvl="5" w:tplc="5CF6AF62">
      <w:start w:val="1"/>
      <w:numFmt w:val="lowerRoman"/>
      <w:lvlText w:val="%6."/>
      <w:lvlJc w:val="right"/>
      <w:pPr>
        <w:ind w:left="4320" w:hanging="180"/>
      </w:pPr>
    </w:lvl>
    <w:lvl w:ilvl="6" w:tplc="B262CC00">
      <w:start w:val="1"/>
      <w:numFmt w:val="decimal"/>
      <w:lvlText w:val="%7."/>
      <w:lvlJc w:val="left"/>
      <w:pPr>
        <w:ind w:left="5040" w:hanging="360"/>
      </w:pPr>
    </w:lvl>
    <w:lvl w:ilvl="7" w:tplc="93EC2CBA">
      <w:start w:val="1"/>
      <w:numFmt w:val="lowerLetter"/>
      <w:lvlText w:val="%8."/>
      <w:lvlJc w:val="left"/>
      <w:pPr>
        <w:ind w:left="5760" w:hanging="360"/>
      </w:pPr>
    </w:lvl>
    <w:lvl w:ilvl="8" w:tplc="2CE80CF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 w:tplc="1C1836AA">
      <w:start w:val="1"/>
      <w:numFmt w:val="bullet"/>
      <w:lvlText w:val=""/>
      <w:lvlJc w:val="left"/>
      <w:pPr>
        <w:tabs>
          <w:tab w:val="num" w:pos="0"/>
        </w:tabs>
        <w:ind w:left="1710" w:hanging="360"/>
      </w:pPr>
      <w:rPr>
        <w:rFonts w:hint="default" w:ascii="Symbol" w:hAnsi="Symbol" w:cs="Symbol"/>
      </w:rPr>
    </w:lvl>
    <w:lvl w:ilvl="1" w:tplc="9CD420E2">
      <w:start w:val="1"/>
      <w:numFmt w:val="bullet"/>
      <w:lvlText w:val="o"/>
      <w:lvlJc w:val="left"/>
      <w:pPr>
        <w:tabs>
          <w:tab w:val="num" w:pos="0"/>
        </w:tabs>
        <w:ind w:left="2430" w:hanging="360"/>
      </w:pPr>
      <w:rPr>
        <w:rFonts w:hint="default" w:ascii="Courier New" w:hAnsi="Courier New" w:cs="Courier New"/>
      </w:rPr>
    </w:lvl>
    <w:lvl w:ilvl="2" w:tplc="DB8E589A">
      <w:start w:val="1"/>
      <w:numFmt w:val="bullet"/>
      <w:lvlText w:val=""/>
      <w:lvlJc w:val="left"/>
      <w:pPr>
        <w:tabs>
          <w:tab w:val="num" w:pos="0"/>
        </w:tabs>
        <w:ind w:left="3150" w:hanging="360"/>
      </w:pPr>
      <w:rPr>
        <w:rFonts w:hint="default" w:ascii="Wingdings" w:hAnsi="Wingdings" w:cs="Wingdings"/>
      </w:rPr>
    </w:lvl>
    <w:lvl w:ilvl="3" w:tplc="80B2B5C4">
      <w:start w:val="1"/>
      <w:numFmt w:val="bullet"/>
      <w:lvlText w:val=""/>
      <w:lvlJc w:val="left"/>
      <w:pPr>
        <w:tabs>
          <w:tab w:val="num" w:pos="0"/>
        </w:tabs>
        <w:ind w:left="3870" w:hanging="360"/>
      </w:pPr>
      <w:rPr>
        <w:rFonts w:hint="default" w:ascii="Symbol" w:hAnsi="Symbol" w:cs="Symbol"/>
      </w:rPr>
    </w:lvl>
    <w:lvl w:ilvl="4" w:tplc="C88C3488">
      <w:start w:val="1"/>
      <w:numFmt w:val="bullet"/>
      <w:lvlText w:val="o"/>
      <w:lvlJc w:val="left"/>
      <w:pPr>
        <w:tabs>
          <w:tab w:val="num" w:pos="0"/>
        </w:tabs>
        <w:ind w:left="4590" w:hanging="360"/>
      </w:pPr>
      <w:rPr>
        <w:rFonts w:hint="default" w:ascii="Courier New" w:hAnsi="Courier New" w:cs="Courier New"/>
      </w:rPr>
    </w:lvl>
    <w:lvl w:ilvl="5" w:tplc="A77E17D2">
      <w:start w:val="1"/>
      <w:numFmt w:val="bullet"/>
      <w:lvlText w:val=""/>
      <w:lvlJc w:val="left"/>
      <w:pPr>
        <w:tabs>
          <w:tab w:val="num" w:pos="0"/>
        </w:tabs>
        <w:ind w:left="5310" w:hanging="360"/>
      </w:pPr>
      <w:rPr>
        <w:rFonts w:hint="default" w:ascii="Wingdings" w:hAnsi="Wingdings" w:cs="Wingdings"/>
      </w:rPr>
    </w:lvl>
    <w:lvl w:ilvl="6" w:tplc="241CC086">
      <w:start w:val="1"/>
      <w:numFmt w:val="bullet"/>
      <w:lvlText w:val=""/>
      <w:lvlJc w:val="left"/>
      <w:pPr>
        <w:tabs>
          <w:tab w:val="num" w:pos="0"/>
        </w:tabs>
        <w:ind w:left="6030" w:hanging="360"/>
      </w:pPr>
      <w:rPr>
        <w:rFonts w:hint="default" w:ascii="Symbol" w:hAnsi="Symbol" w:cs="Symbol"/>
      </w:rPr>
    </w:lvl>
    <w:lvl w:ilvl="7" w:tplc="51A0F188">
      <w:start w:val="1"/>
      <w:numFmt w:val="bullet"/>
      <w:lvlText w:val="o"/>
      <w:lvlJc w:val="left"/>
      <w:pPr>
        <w:tabs>
          <w:tab w:val="num" w:pos="0"/>
        </w:tabs>
        <w:ind w:left="6750" w:hanging="360"/>
      </w:pPr>
      <w:rPr>
        <w:rFonts w:hint="default" w:ascii="Courier New" w:hAnsi="Courier New" w:cs="Courier New"/>
      </w:rPr>
    </w:lvl>
    <w:lvl w:ilvl="8" w:tplc="B58E9F4E">
      <w:start w:val="1"/>
      <w:numFmt w:val="bullet"/>
      <w:lvlText w:val=""/>
      <w:lvlJc w:val="left"/>
      <w:pPr>
        <w:tabs>
          <w:tab w:val="num" w:pos="0"/>
        </w:tabs>
        <w:ind w:left="7470" w:hanging="360"/>
      </w:pPr>
      <w:rPr>
        <w:rFonts w:hint="default" w:ascii="Wingdings" w:hAnsi="Wingdings" w:cs="Wingdings"/>
      </w:rPr>
    </w:lvl>
  </w:abstractNum>
  <w:abstractNum w:abstractNumId="21">
    <w:multiLevelType w:val="hybridMultilevel"/>
    <w:lvl w:ilvl="0" w:tplc="DBC4798A">
      <w:start w:val="1"/>
      <w:numFmt w:val="decimal"/>
      <w:lvlText w:val="%1."/>
      <w:lvlJc w:val="left"/>
      <w:pPr>
        <w:ind w:left="720" w:hanging="360"/>
      </w:pPr>
    </w:lvl>
    <w:lvl w:ilvl="1" w:tplc="1A160130">
      <w:start w:val="1"/>
      <w:numFmt w:val="lowerLetter"/>
      <w:lvlText w:val="%2."/>
      <w:lvlJc w:val="left"/>
      <w:pPr>
        <w:ind w:left="1440" w:hanging="360"/>
      </w:pPr>
    </w:lvl>
    <w:lvl w:ilvl="2" w:tplc="DDF0E18E">
      <w:start w:val="1"/>
      <w:numFmt w:val="lowerRoman"/>
      <w:lvlText w:val="%3."/>
      <w:lvlJc w:val="right"/>
      <w:pPr>
        <w:ind w:left="2160" w:hanging="180"/>
      </w:pPr>
    </w:lvl>
    <w:lvl w:ilvl="3" w:tplc="99BC68DC">
      <w:start w:val="1"/>
      <w:numFmt w:val="decimal"/>
      <w:lvlText w:val="%4."/>
      <w:lvlJc w:val="left"/>
      <w:pPr>
        <w:ind w:left="2880" w:hanging="360"/>
      </w:pPr>
    </w:lvl>
    <w:lvl w:ilvl="4" w:tplc="5DB8D6FE">
      <w:start w:val="1"/>
      <w:numFmt w:val="lowerLetter"/>
      <w:lvlText w:val="%5."/>
      <w:lvlJc w:val="left"/>
      <w:pPr>
        <w:ind w:left="3600" w:hanging="360"/>
      </w:pPr>
    </w:lvl>
    <w:lvl w:ilvl="5" w:tplc="8E5CEEAC">
      <w:start w:val="1"/>
      <w:numFmt w:val="lowerRoman"/>
      <w:lvlText w:val="%6."/>
      <w:lvlJc w:val="right"/>
      <w:pPr>
        <w:ind w:left="4320" w:hanging="180"/>
      </w:pPr>
    </w:lvl>
    <w:lvl w:ilvl="6" w:tplc="F54641B6">
      <w:start w:val="1"/>
      <w:numFmt w:val="decimal"/>
      <w:lvlText w:val="%7."/>
      <w:lvlJc w:val="left"/>
      <w:pPr>
        <w:ind w:left="5040" w:hanging="360"/>
      </w:pPr>
    </w:lvl>
    <w:lvl w:ilvl="7" w:tplc="6E960510">
      <w:start w:val="1"/>
      <w:numFmt w:val="lowerLetter"/>
      <w:lvlText w:val="%8."/>
      <w:lvlJc w:val="left"/>
      <w:pPr>
        <w:ind w:left="5760" w:hanging="360"/>
      </w:pPr>
    </w:lvl>
    <w:lvl w:ilvl="8" w:tplc="6FBE4A2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 w:tplc="98F8F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5E23EA">
      <w:start w:val="1"/>
      <w:numFmt w:val="lowerLetter"/>
      <w:lvlText w:val="%2."/>
      <w:lvlJc w:val="left"/>
      <w:pPr>
        <w:ind w:left="1440" w:hanging="360"/>
      </w:pPr>
    </w:lvl>
    <w:lvl w:ilvl="2" w:tplc="1E5E7706">
      <w:start w:val="1"/>
      <w:numFmt w:val="lowerRoman"/>
      <w:lvlText w:val="%3."/>
      <w:lvlJc w:val="right"/>
      <w:pPr>
        <w:ind w:left="2160" w:hanging="180"/>
      </w:pPr>
    </w:lvl>
    <w:lvl w:ilvl="3" w:tplc="A84AD002">
      <w:start w:val="1"/>
      <w:numFmt w:val="decimal"/>
      <w:lvlText w:val="%4."/>
      <w:lvlJc w:val="left"/>
      <w:pPr>
        <w:ind w:left="2880" w:hanging="360"/>
      </w:pPr>
    </w:lvl>
    <w:lvl w:ilvl="4" w:tplc="7C4E182C">
      <w:start w:val="1"/>
      <w:numFmt w:val="lowerLetter"/>
      <w:lvlText w:val="%5."/>
      <w:lvlJc w:val="left"/>
      <w:pPr>
        <w:ind w:left="3600" w:hanging="360"/>
      </w:pPr>
    </w:lvl>
    <w:lvl w:ilvl="5" w:tplc="97701FFE">
      <w:start w:val="1"/>
      <w:numFmt w:val="lowerRoman"/>
      <w:lvlText w:val="%6."/>
      <w:lvlJc w:val="right"/>
      <w:pPr>
        <w:ind w:left="4320" w:hanging="180"/>
      </w:pPr>
    </w:lvl>
    <w:lvl w:ilvl="6" w:tplc="ADA8890E">
      <w:start w:val="1"/>
      <w:numFmt w:val="decimal"/>
      <w:lvlText w:val="%7."/>
      <w:lvlJc w:val="left"/>
      <w:pPr>
        <w:ind w:left="5040" w:hanging="360"/>
      </w:pPr>
    </w:lvl>
    <w:lvl w:ilvl="7" w:tplc="5FC43FA4">
      <w:start w:val="1"/>
      <w:numFmt w:val="lowerLetter"/>
      <w:lvlText w:val="%8."/>
      <w:lvlJc w:val="left"/>
      <w:pPr>
        <w:ind w:left="5760" w:hanging="360"/>
      </w:pPr>
    </w:lvl>
    <w:lvl w:ilvl="8" w:tplc="EBE8BD6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 w:tplc="645A3C9A">
      <w:start w:val="1"/>
      <w:numFmt w:val="bullet"/>
      <w:lvlText w:val="·"/>
      <w:lvlJc w:val="right"/>
      <w:pPr>
        <w:ind w:left="709" w:hanging="360"/>
      </w:pPr>
      <w:rPr>
        <w:rFonts w:hint="default" w:ascii="Symbol" w:hAnsi="Symbol" w:eastAsia="Symbol" w:cs="Symbol"/>
      </w:rPr>
    </w:lvl>
    <w:lvl w:ilvl="1" w:tplc="7422D772">
      <w:start w:val="1"/>
      <w:numFmt w:val="bullet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2"/>
      </w:rPr>
    </w:lvl>
    <w:lvl w:ilvl="2" w:tplc="DDC0B716">
      <w:start w:val="1"/>
      <w:numFmt w:val="bullet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2"/>
      </w:rPr>
    </w:lvl>
    <w:lvl w:ilvl="3" w:tplc="4BF8B8EA">
      <w:start w:val="1"/>
      <w:numFmt w:val="bullet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2"/>
      </w:rPr>
    </w:lvl>
    <w:lvl w:ilvl="4" w:tplc="630A0B56">
      <w:start w:val="1"/>
      <w:numFmt w:val="bullet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2"/>
      </w:rPr>
    </w:lvl>
    <w:lvl w:ilvl="5" w:tplc="281AF48E">
      <w:start w:val="1"/>
      <w:numFmt w:val="bullet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2"/>
      </w:rPr>
    </w:lvl>
    <w:lvl w:ilvl="6" w:tplc="918887BC">
      <w:start w:val="1"/>
      <w:numFmt w:val="bullet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2"/>
      </w:rPr>
    </w:lvl>
    <w:lvl w:ilvl="7" w:tplc="E09C49BC">
      <w:start w:val="1"/>
      <w:numFmt w:val="bullet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2"/>
      </w:rPr>
    </w:lvl>
    <w:lvl w:ilvl="8" w:tplc="03AE90D8">
      <w:start w:val="1"/>
      <w:numFmt w:val="bullet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2"/>
      </w:rPr>
    </w:lvl>
  </w:abstractNum>
  <w:abstractNum w:abstractNumId="24">
    <w:multiLevelType w:val="hybridMultilevel"/>
    <w:lvl w:ilvl="0" w:tplc="823E0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A4D570">
      <w:start w:val="1"/>
      <w:numFmt w:val="lowerLetter"/>
      <w:lvlText w:val="%2."/>
      <w:lvlJc w:val="left"/>
      <w:pPr>
        <w:ind w:left="1440" w:hanging="360"/>
      </w:pPr>
    </w:lvl>
    <w:lvl w:ilvl="2" w:tplc="BF0A9ADE">
      <w:start w:val="1"/>
      <w:numFmt w:val="lowerRoman"/>
      <w:lvlText w:val="%3."/>
      <w:lvlJc w:val="right"/>
      <w:pPr>
        <w:ind w:left="2160" w:hanging="180"/>
      </w:pPr>
    </w:lvl>
    <w:lvl w:ilvl="3" w:tplc="D45A03C4">
      <w:start w:val="1"/>
      <w:numFmt w:val="decimal"/>
      <w:lvlText w:val="%4."/>
      <w:lvlJc w:val="left"/>
      <w:pPr>
        <w:ind w:left="2880" w:hanging="360"/>
      </w:pPr>
    </w:lvl>
    <w:lvl w:ilvl="4" w:tplc="BC383CAC">
      <w:start w:val="1"/>
      <w:numFmt w:val="lowerLetter"/>
      <w:lvlText w:val="%5."/>
      <w:lvlJc w:val="left"/>
      <w:pPr>
        <w:ind w:left="3600" w:hanging="360"/>
      </w:pPr>
    </w:lvl>
    <w:lvl w:ilvl="5" w:tplc="E12E4822">
      <w:start w:val="1"/>
      <w:numFmt w:val="lowerRoman"/>
      <w:lvlText w:val="%6."/>
      <w:lvlJc w:val="right"/>
      <w:pPr>
        <w:ind w:left="4320" w:hanging="180"/>
      </w:pPr>
    </w:lvl>
    <w:lvl w:ilvl="6" w:tplc="9EF231EA">
      <w:start w:val="1"/>
      <w:numFmt w:val="decimal"/>
      <w:lvlText w:val="%7."/>
      <w:lvlJc w:val="left"/>
      <w:pPr>
        <w:ind w:left="5040" w:hanging="360"/>
      </w:pPr>
    </w:lvl>
    <w:lvl w:ilvl="7" w:tplc="359E4148">
      <w:start w:val="1"/>
      <w:numFmt w:val="lowerLetter"/>
      <w:lvlText w:val="%8."/>
      <w:lvlJc w:val="left"/>
      <w:pPr>
        <w:ind w:left="5760" w:hanging="360"/>
      </w:pPr>
    </w:lvl>
    <w:lvl w:ilvl="8" w:tplc="BD96B52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 w:tplc="F5A0C27C">
      <w:start w:val="1"/>
      <w:numFmt w:val="bullet"/>
      <w:lvlText w:val=""/>
      <w:lvlJc w:val="left"/>
      <w:pPr>
        <w:tabs>
          <w:tab w:val="num" w:pos="0"/>
        </w:tabs>
        <w:ind w:left="1485" w:hanging="360"/>
      </w:pPr>
      <w:rPr>
        <w:rFonts w:hint="default" w:ascii="Wingdings" w:hAnsi="Wingdings" w:cs="Wingdings"/>
      </w:rPr>
    </w:lvl>
    <w:lvl w:ilvl="1" w:tplc="AF2A94A0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hint="default" w:ascii="Courier New" w:hAnsi="Courier New" w:cs="Courier New"/>
      </w:rPr>
    </w:lvl>
    <w:lvl w:ilvl="2" w:tplc="3EB65C10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hint="default" w:ascii="Wingdings" w:hAnsi="Wingdings" w:cs="Wingdings"/>
      </w:rPr>
    </w:lvl>
    <w:lvl w:ilvl="3" w:tplc="3DCC30DA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hint="default" w:ascii="Symbol" w:hAnsi="Symbol" w:cs="Symbol"/>
      </w:rPr>
    </w:lvl>
    <w:lvl w:ilvl="4" w:tplc="7700B89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hint="default" w:ascii="Courier New" w:hAnsi="Courier New" w:cs="Courier New"/>
      </w:rPr>
    </w:lvl>
    <w:lvl w:ilvl="5" w:tplc="B6B86128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hint="default" w:ascii="Wingdings" w:hAnsi="Wingdings" w:cs="Wingdings"/>
      </w:rPr>
    </w:lvl>
    <w:lvl w:ilvl="6" w:tplc="9EAE20D4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hint="default" w:ascii="Symbol" w:hAnsi="Symbol" w:cs="Symbol"/>
      </w:rPr>
    </w:lvl>
    <w:lvl w:ilvl="7" w:tplc="D25EE57E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hint="default" w:ascii="Courier New" w:hAnsi="Courier New" w:cs="Courier New"/>
      </w:rPr>
    </w:lvl>
    <w:lvl w:ilvl="8" w:tplc="9C98FC7A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hint="default" w:ascii="Wingdings" w:hAnsi="Wingdings" w:cs="Wingdings"/>
      </w:rPr>
    </w:lvl>
  </w:abstractNum>
  <w:abstractNum w:abstractNumId="26">
    <w:multiLevelType w:val="hybridMultilevel"/>
    <w:lvl w:ilvl="0" w:tplc="0E5AE2C8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hint="default" w:ascii="Symbol" w:hAnsi="Symbol" w:cs="Symbol"/>
      </w:rPr>
    </w:lvl>
    <w:lvl w:ilvl="1" w:tplc="92DA611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7EC27F5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7E2E0E2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7DE4F22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91B8B9AC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6A7ECDF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B8E4A3D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BDE4768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27">
    <w:multiLevelType w:val="hybridMultilevel"/>
    <w:lvl w:ilvl="0" w:tplc="6F14C604">
      <w:start w:val="1"/>
      <w:numFmt w:val="bullet"/>
      <w:lvlText w:val=""/>
      <w:lvlJc w:val="left"/>
      <w:pPr>
        <w:ind w:left="1800" w:hanging="360"/>
      </w:pPr>
      <w:rPr>
        <w:rFonts w:hint="default" w:ascii="Symbol" w:hAnsi="Symbol"/>
      </w:rPr>
    </w:lvl>
    <w:lvl w:ilvl="1" w:tplc="00700AA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D9F2A9A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361E8B7A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32BA581C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A1409FB6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B928CB0E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4E5A262A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90C44534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 w:tplc="33324C38">
      <w:start w:val="1"/>
      <w:numFmt w:val="bullet"/>
      <w:lvlText w:val=""/>
      <w:lvlJc w:val="left"/>
      <w:pPr>
        <w:tabs>
          <w:tab w:val="num" w:pos="0"/>
        </w:tabs>
        <w:ind w:left="1350" w:hanging="360"/>
      </w:pPr>
      <w:rPr>
        <w:rFonts w:hint="default" w:ascii="Wingdings" w:hAnsi="Wingdings" w:cs="Wingdings"/>
      </w:rPr>
    </w:lvl>
    <w:lvl w:ilvl="1" w:tplc="95A2D2A0">
      <w:start w:val="1"/>
      <w:numFmt w:val="bullet"/>
      <w:lvlText w:val="o"/>
      <w:lvlJc w:val="left"/>
      <w:pPr>
        <w:tabs>
          <w:tab w:val="num" w:pos="0"/>
        </w:tabs>
        <w:ind w:left="2070" w:hanging="360"/>
      </w:pPr>
      <w:rPr>
        <w:rFonts w:hint="default" w:ascii="Courier New" w:hAnsi="Courier New" w:cs="Courier New"/>
      </w:rPr>
    </w:lvl>
    <w:lvl w:ilvl="2" w:tplc="F8E050E4">
      <w:start w:val="1"/>
      <w:numFmt w:val="bullet"/>
      <w:lvlText w:val=""/>
      <w:lvlJc w:val="left"/>
      <w:pPr>
        <w:tabs>
          <w:tab w:val="num" w:pos="0"/>
        </w:tabs>
        <w:ind w:left="2790" w:hanging="360"/>
      </w:pPr>
      <w:rPr>
        <w:rFonts w:hint="default" w:ascii="Wingdings" w:hAnsi="Wingdings" w:cs="Wingdings"/>
      </w:rPr>
    </w:lvl>
    <w:lvl w:ilvl="3" w:tplc="939065FC">
      <w:start w:val="1"/>
      <w:numFmt w:val="bullet"/>
      <w:lvlText w:val=""/>
      <w:lvlJc w:val="left"/>
      <w:pPr>
        <w:tabs>
          <w:tab w:val="num" w:pos="0"/>
        </w:tabs>
        <w:ind w:left="3510" w:hanging="360"/>
      </w:pPr>
      <w:rPr>
        <w:rFonts w:hint="default" w:ascii="Symbol" w:hAnsi="Symbol" w:cs="Symbol"/>
      </w:rPr>
    </w:lvl>
    <w:lvl w:ilvl="4" w:tplc="FE7EB480">
      <w:start w:val="1"/>
      <w:numFmt w:val="bullet"/>
      <w:lvlText w:val="o"/>
      <w:lvlJc w:val="left"/>
      <w:pPr>
        <w:tabs>
          <w:tab w:val="num" w:pos="0"/>
        </w:tabs>
        <w:ind w:left="4230" w:hanging="360"/>
      </w:pPr>
      <w:rPr>
        <w:rFonts w:hint="default" w:ascii="Courier New" w:hAnsi="Courier New" w:cs="Courier New"/>
      </w:rPr>
    </w:lvl>
    <w:lvl w:ilvl="5" w:tplc="17CE8C52">
      <w:start w:val="1"/>
      <w:numFmt w:val="bullet"/>
      <w:lvlText w:val=""/>
      <w:lvlJc w:val="left"/>
      <w:pPr>
        <w:tabs>
          <w:tab w:val="num" w:pos="0"/>
        </w:tabs>
        <w:ind w:left="4950" w:hanging="360"/>
      </w:pPr>
      <w:rPr>
        <w:rFonts w:hint="default" w:ascii="Wingdings" w:hAnsi="Wingdings" w:cs="Wingdings"/>
      </w:rPr>
    </w:lvl>
    <w:lvl w:ilvl="6" w:tplc="C2360C62">
      <w:start w:val="1"/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hint="default" w:ascii="Symbol" w:hAnsi="Symbol" w:cs="Symbol"/>
      </w:rPr>
    </w:lvl>
    <w:lvl w:ilvl="7" w:tplc="8B280526">
      <w:start w:val="1"/>
      <w:numFmt w:val="bullet"/>
      <w:lvlText w:val="o"/>
      <w:lvlJc w:val="left"/>
      <w:pPr>
        <w:tabs>
          <w:tab w:val="num" w:pos="0"/>
        </w:tabs>
        <w:ind w:left="6390" w:hanging="360"/>
      </w:pPr>
      <w:rPr>
        <w:rFonts w:hint="default" w:ascii="Courier New" w:hAnsi="Courier New" w:cs="Courier New"/>
      </w:rPr>
    </w:lvl>
    <w:lvl w:ilvl="8" w:tplc="03680B4C">
      <w:start w:val="1"/>
      <w:numFmt w:val="bullet"/>
      <w:lvlText w:val=""/>
      <w:lvlJc w:val="left"/>
      <w:pPr>
        <w:tabs>
          <w:tab w:val="num" w:pos="0"/>
        </w:tabs>
        <w:ind w:left="7110" w:hanging="360"/>
      </w:pPr>
      <w:rPr>
        <w:rFonts w:hint="default" w:ascii="Wingdings" w:hAnsi="Wingdings" w:cs="Wingdings"/>
      </w:rPr>
    </w:lvl>
  </w:abstractNum>
  <w:abstractNum w:abstractNumId="29">
    <w:multiLevelType w:val="hybridMultilevel"/>
    <w:lvl w:ilvl="0" w:tplc="09B83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987AA4">
      <w:start w:val="1"/>
      <w:numFmt w:val="lowerLetter"/>
      <w:lvlText w:val="%2."/>
      <w:lvlJc w:val="left"/>
      <w:pPr>
        <w:ind w:left="1440" w:hanging="360"/>
      </w:pPr>
    </w:lvl>
    <w:lvl w:ilvl="2" w:tplc="423A4088">
      <w:start w:val="1"/>
      <w:numFmt w:val="lowerRoman"/>
      <w:lvlText w:val="%3."/>
      <w:lvlJc w:val="right"/>
      <w:pPr>
        <w:ind w:left="2160" w:hanging="180"/>
      </w:pPr>
    </w:lvl>
    <w:lvl w:ilvl="3" w:tplc="09E4E790">
      <w:start w:val="1"/>
      <w:numFmt w:val="decimal"/>
      <w:lvlText w:val="%4."/>
      <w:lvlJc w:val="left"/>
      <w:pPr>
        <w:ind w:left="2880" w:hanging="360"/>
      </w:pPr>
    </w:lvl>
    <w:lvl w:ilvl="4" w:tplc="10E8D184">
      <w:start w:val="1"/>
      <w:numFmt w:val="lowerLetter"/>
      <w:lvlText w:val="%5."/>
      <w:lvlJc w:val="left"/>
      <w:pPr>
        <w:ind w:left="3600" w:hanging="360"/>
      </w:pPr>
    </w:lvl>
    <w:lvl w:ilvl="5" w:tplc="3D4050E0">
      <w:start w:val="1"/>
      <w:numFmt w:val="lowerRoman"/>
      <w:lvlText w:val="%6."/>
      <w:lvlJc w:val="right"/>
      <w:pPr>
        <w:ind w:left="4320" w:hanging="180"/>
      </w:pPr>
    </w:lvl>
    <w:lvl w:ilvl="6" w:tplc="37BC7776">
      <w:start w:val="1"/>
      <w:numFmt w:val="decimal"/>
      <w:lvlText w:val="%7."/>
      <w:lvlJc w:val="left"/>
      <w:pPr>
        <w:ind w:left="5040" w:hanging="360"/>
      </w:pPr>
    </w:lvl>
    <w:lvl w:ilvl="7" w:tplc="52D8C224">
      <w:start w:val="1"/>
      <w:numFmt w:val="lowerLetter"/>
      <w:lvlText w:val="%8."/>
      <w:lvlJc w:val="left"/>
      <w:pPr>
        <w:ind w:left="5760" w:hanging="360"/>
      </w:pPr>
    </w:lvl>
    <w:lvl w:ilvl="8" w:tplc="66FE77D2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 w:tplc="863E7C5E">
      <w:start w:val="1"/>
      <w:numFmt w:val="bullet"/>
      <w:lvlText w:val=""/>
      <w:lvlJc w:val="left"/>
      <w:pPr>
        <w:tabs>
          <w:tab w:val="num" w:pos="0"/>
        </w:tabs>
        <w:ind w:left="1350" w:hanging="360"/>
      </w:pPr>
      <w:rPr>
        <w:rFonts w:hint="default" w:ascii="Symbol" w:hAnsi="Symbol" w:cs="Symbol"/>
      </w:rPr>
    </w:lvl>
    <w:lvl w:ilvl="1" w:tplc="B3961B9C">
      <w:start w:val="1"/>
      <w:numFmt w:val="bullet"/>
      <w:lvlText w:val="o"/>
      <w:lvlJc w:val="left"/>
      <w:pPr>
        <w:tabs>
          <w:tab w:val="num" w:pos="0"/>
        </w:tabs>
        <w:ind w:left="2070" w:hanging="360"/>
      </w:pPr>
      <w:rPr>
        <w:rFonts w:hint="default" w:ascii="Courier New" w:hAnsi="Courier New" w:cs="Courier New"/>
      </w:rPr>
    </w:lvl>
    <w:lvl w:ilvl="2" w:tplc="B29CB902">
      <w:start w:val="1"/>
      <w:numFmt w:val="bullet"/>
      <w:lvlText w:val=""/>
      <w:lvlJc w:val="left"/>
      <w:pPr>
        <w:tabs>
          <w:tab w:val="num" w:pos="0"/>
        </w:tabs>
        <w:ind w:left="2790" w:hanging="360"/>
      </w:pPr>
      <w:rPr>
        <w:rFonts w:hint="default" w:ascii="Wingdings" w:hAnsi="Wingdings" w:cs="Wingdings"/>
      </w:rPr>
    </w:lvl>
    <w:lvl w:ilvl="3" w:tplc="F0E8BB0E">
      <w:start w:val="1"/>
      <w:numFmt w:val="bullet"/>
      <w:lvlText w:val=""/>
      <w:lvlJc w:val="left"/>
      <w:pPr>
        <w:tabs>
          <w:tab w:val="num" w:pos="0"/>
        </w:tabs>
        <w:ind w:left="3510" w:hanging="360"/>
      </w:pPr>
      <w:rPr>
        <w:rFonts w:hint="default" w:ascii="Symbol" w:hAnsi="Symbol" w:cs="Symbol"/>
      </w:rPr>
    </w:lvl>
    <w:lvl w:ilvl="4" w:tplc="89DEA3CA">
      <w:start w:val="1"/>
      <w:numFmt w:val="bullet"/>
      <w:lvlText w:val="o"/>
      <w:lvlJc w:val="left"/>
      <w:pPr>
        <w:tabs>
          <w:tab w:val="num" w:pos="0"/>
        </w:tabs>
        <w:ind w:left="4230" w:hanging="360"/>
      </w:pPr>
      <w:rPr>
        <w:rFonts w:hint="default" w:ascii="Courier New" w:hAnsi="Courier New" w:cs="Courier New"/>
      </w:rPr>
    </w:lvl>
    <w:lvl w:ilvl="5" w:tplc="0A62A5A8">
      <w:start w:val="1"/>
      <w:numFmt w:val="bullet"/>
      <w:lvlText w:val=""/>
      <w:lvlJc w:val="left"/>
      <w:pPr>
        <w:tabs>
          <w:tab w:val="num" w:pos="0"/>
        </w:tabs>
        <w:ind w:left="4950" w:hanging="360"/>
      </w:pPr>
      <w:rPr>
        <w:rFonts w:hint="default" w:ascii="Wingdings" w:hAnsi="Wingdings" w:cs="Wingdings"/>
      </w:rPr>
    </w:lvl>
    <w:lvl w:ilvl="6" w:tplc="A20C3DD0">
      <w:start w:val="1"/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hint="default" w:ascii="Symbol" w:hAnsi="Symbol" w:cs="Symbol"/>
      </w:rPr>
    </w:lvl>
    <w:lvl w:ilvl="7" w:tplc="DCDCA120">
      <w:start w:val="1"/>
      <w:numFmt w:val="bullet"/>
      <w:lvlText w:val="o"/>
      <w:lvlJc w:val="left"/>
      <w:pPr>
        <w:tabs>
          <w:tab w:val="num" w:pos="0"/>
        </w:tabs>
        <w:ind w:left="6390" w:hanging="360"/>
      </w:pPr>
      <w:rPr>
        <w:rFonts w:hint="default" w:ascii="Courier New" w:hAnsi="Courier New" w:cs="Courier New"/>
      </w:rPr>
    </w:lvl>
    <w:lvl w:ilvl="8" w:tplc="D52C9AF4">
      <w:start w:val="1"/>
      <w:numFmt w:val="bullet"/>
      <w:lvlText w:val=""/>
      <w:lvlJc w:val="left"/>
      <w:pPr>
        <w:tabs>
          <w:tab w:val="num" w:pos="0"/>
        </w:tabs>
        <w:ind w:left="7110" w:hanging="360"/>
      </w:pPr>
      <w:rPr>
        <w:rFonts w:hint="default" w:ascii="Wingdings" w:hAnsi="Wingdings" w:cs="Wingdings"/>
      </w:rPr>
    </w:lvl>
  </w:abstractNum>
  <w:abstractNum w:abstractNumId="31">
    <w:multiLevelType w:val="hybridMultilevel"/>
    <w:lvl w:ilvl="0" w:tplc="C780EE58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hint="default" w:ascii="Symbol" w:hAnsi="Symbol" w:cs="Symbol"/>
      </w:rPr>
    </w:lvl>
    <w:lvl w:ilvl="1" w:tplc="631A6774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hint="default" w:ascii="Courier New" w:hAnsi="Courier New" w:cs="Courier New"/>
      </w:rPr>
    </w:lvl>
    <w:lvl w:ilvl="2" w:tplc="613E013A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hint="default" w:ascii="Wingdings" w:hAnsi="Wingdings" w:cs="Wingdings"/>
      </w:rPr>
    </w:lvl>
    <w:lvl w:ilvl="3" w:tplc="475AB79E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hint="default" w:ascii="Symbol" w:hAnsi="Symbol" w:cs="Symbol"/>
      </w:rPr>
    </w:lvl>
    <w:lvl w:ilvl="4" w:tplc="E17284D8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hint="default" w:ascii="Courier New" w:hAnsi="Courier New" w:cs="Courier New"/>
      </w:rPr>
    </w:lvl>
    <w:lvl w:ilvl="5" w:tplc="EFD08EDE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hint="default" w:ascii="Wingdings" w:hAnsi="Wingdings" w:cs="Wingdings"/>
      </w:rPr>
    </w:lvl>
    <w:lvl w:ilvl="6" w:tplc="61BA7EC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hint="default" w:ascii="Symbol" w:hAnsi="Symbol" w:cs="Symbol"/>
      </w:rPr>
    </w:lvl>
    <w:lvl w:ilvl="7" w:tplc="DC22C63C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hint="default" w:ascii="Courier New" w:hAnsi="Courier New" w:cs="Courier New"/>
      </w:rPr>
    </w:lvl>
    <w:lvl w:ilvl="8" w:tplc="993C05E6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hint="default" w:ascii="Wingdings" w:hAnsi="Wingdings" w:cs="Wingdings"/>
      </w:rPr>
    </w:lvl>
  </w:abstractNum>
  <w:abstractNum w:abstractNumId="32">
    <w:multiLevelType w:val="hybridMultilevel"/>
    <w:lvl w:ilvl="0" w:tplc="F3A47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545D82">
      <w:start w:val="1"/>
      <w:numFmt w:val="lowerLetter"/>
      <w:lvlText w:val="%2."/>
      <w:lvlJc w:val="left"/>
      <w:pPr>
        <w:ind w:left="1440" w:hanging="360"/>
      </w:pPr>
    </w:lvl>
    <w:lvl w:ilvl="2" w:tplc="A9D2641E">
      <w:start w:val="1"/>
      <w:numFmt w:val="lowerRoman"/>
      <w:lvlText w:val="%3."/>
      <w:lvlJc w:val="right"/>
      <w:pPr>
        <w:ind w:left="2160" w:hanging="180"/>
      </w:pPr>
    </w:lvl>
    <w:lvl w:ilvl="3" w:tplc="66B0FDD6">
      <w:start w:val="1"/>
      <w:numFmt w:val="decimal"/>
      <w:lvlText w:val="%4."/>
      <w:lvlJc w:val="left"/>
      <w:pPr>
        <w:ind w:left="2880" w:hanging="360"/>
      </w:pPr>
    </w:lvl>
    <w:lvl w:ilvl="4" w:tplc="C6F6894E">
      <w:start w:val="1"/>
      <w:numFmt w:val="lowerLetter"/>
      <w:lvlText w:val="%5."/>
      <w:lvlJc w:val="left"/>
      <w:pPr>
        <w:ind w:left="3600" w:hanging="360"/>
      </w:pPr>
    </w:lvl>
    <w:lvl w:ilvl="5" w:tplc="E9609182">
      <w:start w:val="1"/>
      <w:numFmt w:val="lowerRoman"/>
      <w:lvlText w:val="%6."/>
      <w:lvlJc w:val="right"/>
      <w:pPr>
        <w:ind w:left="4320" w:hanging="180"/>
      </w:pPr>
    </w:lvl>
    <w:lvl w:ilvl="6" w:tplc="CB18F36C">
      <w:start w:val="1"/>
      <w:numFmt w:val="decimal"/>
      <w:lvlText w:val="%7."/>
      <w:lvlJc w:val="left"/>
      <w:pPr>
        <w:ind w:left="5040" w:hanging="360"/>
      </w:pPr>
    </w:lvl>
    <w:lvl w:ilvl="7" w:tplc="FA9CFB22">
      <w:start w:val="1"/>
      <w:numFmt w:val="lowerLetter"/>
      <w:lvlText w:val="%8."/>
      <w:lvlJc w:val="left"/>
      <w:pPr>
        <w:ind w:left="5760" w:hanging="360"/>
      </w:pPr>
    </w:lvl>
    <w:lvl w:ilvl="8" w:tplc="E2FC9C6A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 w:tplc="399C8AE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4CBEA2A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4F1C7E4A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4F2E23A8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716A8868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5FA84B1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E0ADA0C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84E49A5C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4C023E0C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 w:tplc="D35641D2">
      <w:start w:val="1"/>
      <w:numFmt w:val="bullet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 w:tplc="78F491F2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 w:tplc="79F66E02">
      <w:start w:val="1"/>
      <w:numFmt w:val="bullet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 w:tplc="B712ACA2">
      <w:start w:val="1"/>
      <w:numFmt w:val="bullet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 w:tplc="4CA84C48">
      <w:start w:val="1"/>
      <w:numFmt w:val="bullet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 w:tplc="BDE488B2">
      <w:start w:val="1"/>
      <w:numFmt w:val="bullet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 w:tplc="95AA04DE">
      <w:start w:val="1"/>
      <w:numFmt w:val="bullet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 w:tplc="24820E6A">
      <w:start w:val="1"/>
      <w:numFmt w:val="bullet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 w:tplc="5680BEEA">
      <w:start w:val="1"/>
      <w:numFmt w:val="bullet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 w:tplc="27623C92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hint="default" w:ascii="Wingdings" w:hAnsi="Wingdings" w:cs="Wingdings"/>
      </w:rPr>
    </w:lvl>
    <w:lvl w:ilvl="1" w:tplc="F76CA23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0B864DB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B99C072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D2E40C9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59769F0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CDC22BA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AC8607E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99E44BE6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36">
    <w:multiLevelType w:val="hybridMultilevel"/>
    <w:lvl w:ilvl="0" w:tplc="DBF8483C">
      <w:start w:val="1"/>
      <w:numFmt w:val="decimal"/>
      <w:lvlText w:val="%1."/>
      <w:lvlJc w:val="left"/>
      <w:pPr>
        <w:ind w:left="709" w:hanging="360"/>
      </w:pPr>
    </w:lvl>
    <w:lvl w:ilvl="1" w:tplc="72E08240">
      <w:start w:val="1"/>
      <w:numFmt w:val="lowerLetter"/>
      <w:lvlText w:val="%2."/>
      <w:lvlJc w:val="left"/>
      <w:pPr>
        <w:ind w:left="1429" w:hanging="360"/>
      </w:pPr>
    </w:lvl>
    <w:lvl w:ilvl="2" w:tplc="38B87264">
      <w:start w:val="1"/>
      <w:numFmt w:val="lowerRoman"/>
      <w:lvlText w:val="%3."/>
      <w:lvlJc w:val="right"/>
      <w:pPr>
        <w:ind w:left="2149" w:hanging="180"/>
      </w:pPr>
    </w:lvl>
    <w:lvl w:ilvl="3" w:tplc="E68C4A88">
      <w:start w:val="1"/>
      <w:numFmt w:val="decimal"/>
      <w:lvlText w:val="%4."/>
      <w:lvlJc w:val="left"/>
      <w:pPr>
        <w:ind w:left="2869" w:hanging="360"/>
      </w:pPr>
    </w:lvl>
    <w:lvl w:ilvl="4" w:tplc="9C74947A">
      <w:start w:val="1"/>
      <w:numFmt w:val="lowerLetter"/>
      <w:lvlText w:val="%5."/>
      <w:lvlJc w:val="left"/>
      <w:pPr>
        <w:ind w:left="3589" w:hanging="360"/>
      </w:pPr>
    </w:lvl>
    <w:lvl w:ilvl="5" w:tplc="B03094A8">
      <w:start w:val="1"/>
      <w:numFmt w:val="lowerRoman"/>
      <w:lvlText w:val="%6."/>
      <w:lvlJc w:val="right"/>
      <w:pPr>
        <w:ind w:left="4309" w:hanging="180"/>
      </w:pPr>
    </w:lvl>
    <w:lvl w:ilvl="6" w:tplc="60F404C6">
      <w:start w:val="1"/>
      <w:numFmt w:val="decimal"/>
      <w:lvlText w:val="%7."/>
      <w:lvlJc w:val="left"/>
      <w:pPr>
        <w:ind w:left="5029" w:hanging="360"/>
      </w:pPr>
    </w:lvl>
    <w:lvl w:ilvl="7" w:tplc="9B8CD3EA">
      <w:start w:val="1"/>
      <w:numFmt w:val="lowerLetter"/>
      <w:lvlText w:val="%8."/>
      <w:lvlJc w:val="left"/>
      <w:pPr>
        <w:ind w:left="5749" w:hanging="360"/>
      </w:pPr>
    </w:lvl>
    <w:lvl w:ilvl="8" w:tplc="4008043C">
      <w:start w:val="1"/>
      <w:numFmt w:val="lowerRoman"/>
      <w:lvlText w:val="%9."/>
      <w:lvlJc w:val="right"/>
      <w:pPr>
        <w:ind w:left="6469" w:hanging="180"/>
      </w:pPr>
    </w:lvl>
  </w:abstractNum>
  <w:abstractNum w:abstractNumId="37">
    <w:multiLevelType w:val="hybridMultilevel"/>
    <w:lvl w:ilvl="0" w:tplc="EAC405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 w:tplc="2F0A20F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EFF2C4C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DEB08E92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09BE069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761A5D7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8B84E3D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F0BE55B8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EE0E361E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38">
    <w:multiLevelType w:val="hybridMultilevel"/>
    <w:lvl w:ilvl="0" w:tplc="26EA46FE">
      <w:start w:val="1"/>
      <w:numFmt w:val="bullet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2"/>
      </w:rPr>
    </w:lvl>
    <w:lvl w:ilvl="1" w:tplc="DCE28D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5EA0773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E1285994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EC6C6B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B72A571A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05282E96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B184A2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FE280A2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 w:tplc="FF9A3A3A">
      <w:start w:val="1"/>
      <w:numFmt w:val="bullet"/>
      <w:lvlText w:val=""/>
      <w:lvlJc w:val="left"/>
      <w:pPr>
        <w:tabs>
          <w:tab w:val="num" w:pos="0"/>
        </w:tabs>
        <w:ind w:left="1429" w:hanging="360"/>
      </w:pPr>
      <w:rPr>
        <w:rFonts w:hint="default" w:ascii="Wingdings" w:hAnsi="Wingdings" w:cs="Wingdings"/>
      </w:rPr>
    </w:lvl>
    <w:lvl w:ilvl="1" w:tplc="55FAD1A0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hint="default" w:ascii="Courier New" w:hAnsi="Courier New" w:cs="Courier New"/>
      </w:rPr>
    </w:lvl>
    <w:lvl w:ilvl="2" w:tplc="694875EC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hint="default" w:ascii="Wingdings" w:hAnsi="Wingdings" w:cs="Wingdings"/>
      </w:rPr>
    </w:lvl>
    <w:lvl w:ilvl="3" w:tplc="605030F4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hint="default" w:ascii="Symbol" w:hAnsi="Symbol" w:cs="Symbol"/>
      </w:rPr>
    </w:lvl>
    <w:lvl w:ilvl="4" w:tplc="64EC0C92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hint="default" w:ascii="Courier New" w:hAnsi="Courier New" w:cs="Courier New"/>
      </w:rPr>
    </w:lvl>
    <w:lvl w:ilvl="5" w:tplc="A72A611A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hint="default" w:ascii="Wingdings" w:hAnsi="Wingdings" w:cs="Wingdings"/>
      </w:rPr>
    </w:lvl>
    <w:lvl w:ilvl="6" w:tplc="A710A8E4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hint="default" w:ascii="Symbol" w:hAnsi="Symbol" w:cs="Symbol"/>
      </w:rPr>
    </w:lvl>
    <w:lvl w:ilvl="7" w:tplc="AE6CD25C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hint="default" w:ascii="Courier New" w:hAnsi="Courier New" w:cs="Courier New"/>
      </w:rPr>
    </w:lvl>
    <w:lvl w:ilvl="8" w:tplc="A17CC0E6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hint="default" w:ascii="Wingdings" w:hAnsi="Wingdings" w:cs="Wingdings"/>
      </w:rPr>
    </w:lvl>
  </w:abstractNum>
  <w:abstractNum w:abstractNumId="40">
    <w:multiLevelType w:val="hybridMultilevel"/>
    <w:lvl w:ilvl="0" w:tplc="70DAC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D6807C">
      <w:start w:val="1"/>
      <w:numFmt w:val="lowerLetter"/>
      <w:lvlText w:val="%2."/>
      <w:lvlJc w:val="left"/>
      <w:pPr>
        <w:ind w:left="1440" w:hanging="360"/>
      </w:pPr>
    </w:lvl>
    <w:lvl w:ilvl="2" w:tplc="96CCA6DE">
      <w:start w:val="1"/>
      <w:numFmt w:val="lowerRoman"/>
      <w:lvlText w:val="%3."/>
      <w:lvlJc w:val="right"/>
      <w:pPr>
        <w:ind w:left="2160" w:hanging="180"/>
      </w:pPr>
    </w:lvl>
    <w:lvl w:ilvl="3" w:tplc="28B612CE">
      <w:start w:val="1"/>
      <w:numFmt w:val="decimal"/>
      <w:lvlText w:val="%4."/>
      <w:lvlJc w:val="left"/>
      <w:pPr>
        <w:ind w:left="2880" w:hanging="360"/>
      </w:pPr>
    </w:lvl>
    <w:lvl w:ilvl="4" w:tplc="B2D2B6EC">
      <w:start w:val="1"/>
      <w:numFmt w:val="lowerLetter"/>
      <w:lvlText w:val="%5."/>
      <w:lvlJc w:val="left"/>
      <w:pPr>
        <w:ind w:left="3600" w:hanging="360"/>
      </w:pPr>
    </w:lvl>
    <w:lvl w:ilvl="5" w:tplc="FAF41936">
      <w:start w:val="1"/>
      <w:numFmt w:val="lowerRoman"/>
      <w:lvlText w:val="%6."/>
      <w:lvlJc w:val="right"/>
      <w:pPr>
        <w:ind w:left="4320" w:hanging="180"/>
      </w:pPr>
    </w:lvl>
    <w:lvl w:ilvl="6" w:tplc="B0043ADC">
      <w:start w:val="1"/>
      <w:numFmt w:val="decimal"/>
      <w:lvlText w:val="%7."/>
      <w:lvlJc w:val="left"/>
      <w:pPr>
        <w:ind w:left="5040" w:hanging="360"/>
      </w:pPr>
    </w:lvl>
    <w:lvl w:ilvl="7" w:tplc="5A363A60">
      <w:start w:val="1"/>
      <w:numFmt w:val="lowerLetter"/>
      <w:lvlText w:val="%8."/>
      <w:lvlJc w:val="left"/>
      <w:pPr>
        <w:ind w:left="5760" w:hanging="360"/>
      </w:pPr>
    </w:lvl>
    <w:lvl w:ilvl="8" w:tplc="F83A4A22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 w:tplc="A7308DDC">
      <w:start w:val="1"/>
      <w:numFmt w:val="decimal"/>
      <w:lvlText w:val="%1."/>
      <w:lvlJc w:val="left"/>
      <w:pPr>
        <w:ind w:left="709" w:hanging="360"/>
      </w:pPr>
    </w:lvl>
    <w:lvl w:ilvl="1" w:tplc="C944DA66">
      <w:start w:val="1"/>
      <w:numFmt w:val="lowerLetter"/>
      <w:lvlText w:val="%2."/>
      <w:lvlJc w:val="left"/>
      <w:pPr>
        <w:ind w:left="1429" w:hanging="360"/>
      </w:pPr>
    </w:lvl>
    <w:lvl w:ilvl="2" w:tplc="362A7060">
      <w:start w:val="1"/>
      <w:numFmt w:val="lowerRoman"/>
      <w:lvlText w:val="%3."/>
      <w:lvlJc w:val="right"/>
      <w:pPr>
        <w:ind w:left="2149" w:hanging="180"/>
      </w:pPr>
    </w:lvl>
    <w:lvl w:ilvl="3" w:tplc="6D1059B4">
      <w:start w:val="1"/>
      <w:numFmt w:val="decimal"/>
      <w:lvlText w:val="%4."/>
      <w:lvlJc w:val="left"/>
      <w:pPr>
        <w:ind w:left="2869" w:hanging="360"/>
      </w:pPr>
    </w:lvl>
    <w:lvl w:ilvl="4" w:tplc="E7486C06">
      <w:start w:val="1"/>
      <w:numFmt w:val="lowerLetter"/>
      <w:lvlText w:val="%5."/>
      <w:lvlJc w:val="left"/>
      <w:pPr>
        <w:ind w:left="3589" w:hanging="360"/>
      </w:pPr>
    </w:lvl>
    <w:lvl w:ilvl="5" w:tplc="AEFEF3DE">
      <w:start w:val="1"/>
      <w:numFmt w:val="lowerRoman"/>
      <w:lvlText w:val="%6."/>
      <w:lvlJc w:val="right"/>
      <w:pPr>
        <w:ind w:left="4309" w:hanging="180"/>
      </w:pPr>
    </w:lvl>
    <w:lvl w:ilvl="6" w:tplc="298680B6">
      <w:start w:val="1"/>
      <w:numFmt w:val="decimal"/>
      <w:lvlText w:val="%7."/>
      <w:lvlJc w:val="left"/>
      <w:pPr>
        <w:ind w:left="5029" w:hanging="360"/>
      </w:pPr>
    </w:lvl>
    <w:lvl w:ilvl="7" w:tplc="675E0CF0">
      <w:start w:val="1"/>
      <w:numFmt w:val="lowerLetter"/>
      <w:lvlText w:val="%8."/>
      <w:lvlJc w:val="left"/>
      <w:pPr>
        <w:ind w:left="5749" w:hanging="360"/>
      </w:pPr>
    </w:lvl>
    <w:lvl w:ilvl="8" w:tplc="C578FF7A">
      <w:start w:val="1"/>
      <w:numFmt w:val="lowerRoman"/>
      <w:lvlText w:val="%9."/>
      <w:lvlJc w:val="right"/>
      <w:pPr>
        <w:ind w:left="6469" w:hanging="180"/>
      </w:pPr>
    </w:lvl>
  </w:abstractNum>
  <w:abstractNum w:abstractNumId="42">
    <w:multiLevelType w:val="hybridMultilevel"/>
    <w:lvl w:ilvl="0" w:tplc="FE466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6E6706">
      <w:start w:val="1"/>
      <w:numFmt w:val="lowerLetter"/>
      <w:lvlText w:val="%2."/>
      <w:lvlJc w:val="left"/>
      <w:pPr>
        <w:ind w:left="1440" w:hanging="360"/>
      </w:pPr>
    </w:lvl>
    <w:lvl w:ilvl="2" w:tplc="A936F018">
      <w:start w:val="1"/>
      <w:numFmt w:val="lowerRoman"/>
      <w:lvlText w:val="%3."/>
      <w:lvlJc w:val="right"/>
      <w:pPr>
        <w:ind w:left="2160" w:hanging="180"/>
      </w:pPr>
    </w:lvl>
    <w:lvl w:ilvl="3" w:tplc="4A588AC8">
      <w:start w:val="1"/>
      <w:numFmt w:val="decimal"/>
      <w:lvlText w:val="%4."/>
      <w:lvlJc w:val="left"/>
      <w:pPr>
        <w:ind w:left="2880" w:hanging="360"/>
      </w:pPr>
    </w:lvl>
    <w:lvl w:ilvl="4" w:tplc="BD5CED3C">
      <w:start w:val="1"/>
      <w:numFmt w:val="lowerLetter"/>
      <w:lvlText w:val="%5."/>
      <w:lvlJc w:val="left"/>
      <w:pPr>
        <w:ind w:left="3600" w:hanging="360"/>
      </w:pPr>
    </w:lvl>
    <w:lvl w:ilvl="5" w:tplc="CA0837E0">
      <w:start w:val="1"/>
      <w:numFmt w:val="lowerRoman"/>
      <w:lvlText w:val="%6."/>
      <w:lvlJc w:val="right"/>
      <w:pPr>
        <w:ind w:left="4320" w:hanging="180"/>
      </w:pPr>
    </w:lvl>
    <w:lvl w:ilvl="6" w:tplc="D7542C96">
      <w:start w:val="1"/>
      <w:numFmt w:val="decimal"/>
      <w:lvlText w:val="%7."/>
      <w:lvlJc w:val="left"/>
      <w:pPr>
        <w:ind w:left="5040" w:hanging="360"/>
      </w:pPr>
    </w:lvl>
    <w:lvl w:ilvl="7" w:tplc="D3526C56">
      <w:start w:val="1"/>
      <w:numFmt w:val="lowerLetter"/>
      <w:lvlText w:val="%8."/>
      <w:lvlJc w:val="left"/>
      <w:pPr>
        <w:ind w:left="5760" w:hanging="360"/>
      </w:pPr>
    </w:lvl>
    <w:lvl w:ilvl="8" w:tplc="A5449686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 w:tplc="4DB46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689EC2">
      <w:start w:val="1"/>
      <w:numFmt w:val="lowerLetter"/>
      <w:lvlText w:val="%2."/>
      <w:lvlJc w:val="left"/>
      <w:pPr>
        <w:ind w:left="1440" w:hanging="360"/>
      </w:pPr>
    </w:lvl>
    <w:lvl w:ilvl="2" w:tplc="E4FE9342">
      <w:start w:val="1"/>
      <w:numFmt w:val="lowerRoman"/>
      <w:lvlText w:val="%3."/>
      <w:lvlJc w:val="right"/>
      <w:pPr>
        <w:ind w:left="2160" w:hanging="180"/>
      </w:pPr>
    </w:lvl>
    <w:lvl w:ilvl="3" w:tplc="D464BF9A">
      <w:start w:val="1"/>
      <w:numFmt w:val="decimal"/>
      <w:lvlText w:val="%4."/>
      <w:lvlJc w:val="left"/>
      <w:pPr>
        <w:ind w:left="2880" w:hanging="360"/>
      </w:pPr>
    </w:lvl>
    <w:lvl w:ilvl="4" w:tplc="FAC06486">
      <w:start w:val="1"/>
      <w:numFmt w:val="lowerLetter"/>
      <w:lvlText w:val="%5."/>
      <w:lvlJc w:val="left"/>
      <w:pPr>
        <w:ind w:left="3600" w:hanging="360"/>
      </w:pPr>
    </w:lvl>
    <w:lvl w:ilvl="5" w:tplc="D6507308">
      <w:start w:val="1"/>
      <w:numFmt w:val="lowerRoman"/>
      <w:lvlText w:val="%6."/>
      <w:lvlJc w:val="right"/>
      <w:pPr>
        <w:ind w:left="4320" w:hanging="180"/>
      </w:pPr>
    </w:lvl>
    <w:lvl w:ilvl="6" w:tplc="950429CA">
      <w:start w:val="1"/>
      <w:numFmt w:val="decimal"/>
      <w:lvlText w:val="%7."/>
      <w:lvlJc w:val="left"/>
      <w:pPr>
        <w:ind w:left="5040" w:hanging="360"/>
      </w:pPr>
    </w:lvl>
    <w:lvl w:ilvl="7" w:tplc="819CDB68">
      <w:start w:val="1"/>
      <w:numFmt w:val="lowerLetter"/>
      <w:lvlText w:val="%8."/>
      <w:lvlJc w:val="left"/>
      <w:pPr>
        <w:ind w:left="5760" w:hanging="360"/>
      </w:pPr>
    </w:lvl>
    <w:lvl w:ilvl="8" w:tplc="BF7C72F2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 w:tplc="481CB3E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hint="default" w:ascii="Symbol" w:hAnsi="Symbol" w:cs="Symbol"/>
      </w:rPr>
    </w:lvl>
    <w:lvl w:ilvl="1" w:tplc="0658B07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 w:tplc="FEBC306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 w:tplc="20A24D7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 w:tplc="87565BCC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 w:tplc="38185C0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 w:tplc="160E751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 w:tplc="4F221D1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 w:tplc="C8224DE6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45">
    <w:multiLevelType w:val="hybridMultilevel"/>
    <w:lvl w:ilvl="0" w:tplc="11986D58">
      <w:start w:val="1"/>
      <w:numFmt w:val="bullet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 w:tplc="5D865A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506EFEB4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F46C95DC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A1EEBF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650E2952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B9905CD4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C130F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4CA008C6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7"/>
  </w:num>
  <w:num w:numId="2">
    <w:abstractNumId w:val="15"/>
  </w:num>
  <w:num w:numId="3">
    <w:abstractNumId w:val="12"/>
  </w:num>
  <w:num w:numId="4">
    <w:abstractNumId w:val="14"/>
  </w:num>
  <w:num w:numId="5">
    <w:abstractNumId w:val="25"/>
  </w:num>
  <w:num w:numId="6">
    <w:abstractNumId w:val="28"/>
  </w:num>
  <w:num w:numId="7">
    <w:abstractNumId w:val="7"/>
  </w:num>
  <w:num w:numId="8">
    <w:abstractNumId w:val="9"/>
  </w:num>
  <w:num w:numId="9">
    <w:abstractNumId w:val="20"/>
  </w:num>
  <w:num w:numId="10">
    <w:abstractNumId w:val="39"/>
  </w:num>
  <w:num w:numId="11">
    <w:abstractNumId w:val="31"/>
  </w:num>
  <w:num w:numId="12">
    <w:abstractNumId w:val="35"/>
  </w:num>
  <w:num w:numId="13">
    <w:abstractNumId w:val="16"/>
  </w:num>
  <w:num w:numId="14">
    <w:abstractNumId w:val="44"/>
  </w:num>
  <w:num w:numId="15">
    <w:abstractNumId w:val="37"/>
  </w:num>
  <w:num w:numId="16">
    <w:abstractNumId w:val="33"/>
  </w:num>
  <w:num w:numId="17">
    <w:abstractNumId w:val="30"/>
  </w:num>
  <w:num w:numId="18">
    <w:abstractNumId w:val="29"/>
  </w:num>
  <w:num w:numId="19">
    <w:abstractNumId w:val="0"/>
  </w:num>
  <w:num w:numId="20">
    <w:abstractNumId w:val="18"/>
  </w:num>
  <w:num w:numId="21">
    <w:abstractNumId w:val="3"/>
  </w:num>
  <w:num w:numId="22">
    <w:abstractNumId w:val="42"/>
  </w:num>
  <w:num w:numId="23">
    <w:abstractNumId w:val="22"/>
  </w:num>
  <w:num w:numId="24">
    <w:abstractNumId w:val="19"/>
  </w:num>
  <w:num w:numId="25">
    <w:abstractNumId w:val="40"/>
  </w:num>
  <w:num w:numId="26">
    <w:abstractNumId w:val="23"/>
  </w:num>
  <w:num w:numId="27">
    <w:abstractNumId w:val="4"/>
  </w:num>
  <w:num w:numId="28">
    <w:abstractNumId w:val="21"/>
  </w:num>
  <w:num w:numId="29">
    <w:abstractNumId w:val="38"/>
  </w:num>
  <w:num w:numId="30">
    <w:abstractNumId w:val="11"/>
  </w:num>
  <w:num w:numId="31">
    <w:abstractNumId w:val="2"/>
  </w:num>
  <w:num w:numId="32">
    <w:abstractNumId w:val="26"/>
  </w:num>
  <w:num w:numId="33">
    <w:abstractNumId w:val="8"/>
  </w:num>
  <w:num w:numId="34">
    <w:abstractNumId w:val="34"/>
  </w:num>
  <w:num w:numId="35">
    <w:abstractNumId w:val="6"/>
  </w:num>
  <w:num w:numId="36">
    <w:abstractNumId w:val="13"/>
  </w:num>
  <w:num w:numId="37">
    <w:abstractNumId w:val="45"/>
  </w:num>
  <w:num w:numId="38">
    <w:abstractNumId w:val="10"/>
  </w:num>
  <w:num w:numId="39">
    <w:abstractNumId w:val="5"/>
  </w:num>
  <w:num w:numId="40">
    <w:abstractNumId w:val="17"/>
  </w:num>
  <w:num w:numId="41">
    <w:abstractNumId w:val="1"/>
  </w:num>
  <w:num w:numId="42">
    <w:abstractNumId w:val="43"/>
  </w:num>
  <w:num w:numId="43">
    <w:abstractNumId w:val="24"/>
  </w:num>
  <w:num w:numId="44">
    <w:abstractNumId w:val="32"/>
  </w:num>
  <w:num w:numId="45">
    <w:abstractNumId w:val="36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rFonts w:ascii="Courier New" w:hAnsi="Courier New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pPr>
      <w:keepNext/>
      <w:ind w:left="4956" w:firstLine="708"/>
      <w:jc w:val="both"/>
      <w:outlineLvl w:val="1"/>
    </w:pPr>
    <w:rPr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CaptionChar" w:customStyle="1">
    <w:name w:val="Caption Char"/>
    <w:basedOn w:val="a0"/>
    <w:uiPriority w:val="35"/>
    <w:rPr>
      <w:b/>
      <w:bCs/>
      <w:color w:val="dddddd" w:themeColor="accent1"/>
      <w:sz w:val="18"/>
      <w:szCs w:val="18"/>
    </w:rPr>
  </w:style>
  <w:style w:type="character" w:styleId="Heading3Char" w:customStyle="1">
    <w:name w:val="Heading 3 Char"/>
    <w:basedOn w:val="a0"/>
    <w:uiPriority w:val="9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a0"/>
    <w:uiPriority w:val="9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a0"/>
    <w:uiPriority w:val="9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a0"/>
    <w:uiPriority w:val="9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a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a0"/>
    <w:uiPriority w:val="9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a0"/>
    <w:uiPriority w:val="9"/>
    <w:rPr>
      <w:rFonts w:ascii="Arial" w:hAnsi="Arial" w:eastAsia="Arial" w:cs="Arial"/>
      <w:i/>
      <w:iCs/>
      <w:sz w:val="21"/>
      <w:szCs w:val="21"/>
    </w:rPr>
  </w:style>
  <w:style w:type="character" w:styleId="QuoteChar" w:customStyle="1">
    <w:name w:val="Quote Char"/>
    <w:uiPriority w:val="29"/>
    <w:rPr>
      <w:i/>
    </w:rPr>
  </w:style>
  <w:style w:type="character" w:styleId="IntenseQuoteChar" w:customStyle="1">
    <w:name w:val="Intense Quote Char"/>
    <w:uiPriority w:val="30"/>
    <w:rPr>
      <w:i/>
    </w:rPr>
  </w:style>
  <w:style w:type="character" w:styleId="EndnoteTextChar" w:customStyle="1">
    <w:name w:val="Endnote Text Char"/>
    <w:uiPriority w:val="99"/>
    <w:rPr>
      <w:sz w:val="20"/>
    </w:rPr>
  </w:style>
  <w:style w:type="character" w:styleId="Heading1Char" w:customStyle="1">
    <w:name w:val="Heading 1 Char"/>
    <w:basedOn w:val="a0"/>
    <w:uiPriority w:val="9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a0"/>
    <w:uiPriority w:val="9"/>
    <w:rPr>
      <w:rFonts w:ascii="Arial" w:hAnsi="Arial" w:eastAsia="Arial" w:cs="Arial"/>
      <w:sz w:val="34"/>
    </w:rPr>
  </w:style>
  <w:style w:type="character" w:styleId="30" w:customStyle="1">
    <w:name w:val="Заголовок 3 Знак"/>
    <w:basedOn w:val="a0"/>
    <w:link w:val="3"/>
    <w:uiPriority w:val="9"/>
    <w:rPr>
      <w:rFonts w:ascii="Arial" w:hAnsi="Arial" w:eastAsia="Arial" w:cs="Arial"/>
      <w:sz w:val="30"/>
      <w:szCs w:val="30"/>
    </w:rPr>
  </w:style>
  <w:style w:type="character" w:styleId="40" w:customStyle="1">
    <w:name w:val="Заголовок 4 Знак"/>
    <w:basedOn w:val="a0"/>
    <w:link w:val="4"/>
    <w:uiPriority w:val="9"/>
    <w:rPr>
      <w:rFonts w:ascii="Arial" w:hAnsi="Arial" w:eastAsia="Arial" w:cs="Arial"/>
      <w:b/>
      <w:bCs/>
      <w:sz w:val="26"/>
      <w:szCs w:val="26"/>
    </w:rPr>
  </w:style>
  <w:style w:type="character" w:styleId="50" w:customStyle="1">
    <w:name w:val="Заголовок 5 Знак"/>
    <w:basedOn w:val="a0"/>
    <w:link w:val="5"/>
    <w:uiPriority w:val="9"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basedOn w:val="a0"/>
    <w:link w:val="6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basedOn w:val="a0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basedOn w:val="a0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basedOn w:val="a0"/>
    <w:link w:val="9"/>
    <w:uiPriority w:val="9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a0"/>
    <w:uiPriority w:val="10"/>
    <w:rPr>
      <w:sz w:val="48"/>
      <w:szCs w:val="48"/>
    </w:rPr>
  </w:style>
  <w:style w:type="character" w:styleId="SubtitleChar" w:customStyle="1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4" w:customStyle="1">
    <w:name w:val="Выделенная цитата Знак"/>
    <w:link w:val="a3"/>
    <w:uiPriority w:val="30"/>
    <w:rPr>
      <w:i/>
    </w:rPr>
  </w:style>
  <w:style w:type="character" w:styleId="HeaderChar" w:customStyle="1">
    <w:name w:val="Header Char"/>
    <w:basedOn w:val="a0"/>
    <w:uiPriority w:val="99"/>
  </w:style>
  <w:style w:type="character" w:styleId="FooterChar" w:customStyle="1">
    <w:name w:val="Footer Char"/>
    <w:basedOn w:val="a0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dddddd" w:themeColor="accent1"/>
      <w:sz w:val="18"/>
      <w:szCs w:val="18"/>
    </w:rPr>
  </w:style>
  <w:style w:type="character" w:styleId="a6" w:customStyle="1">
    <w:name w:val="Название объекта Знак"/>
    <w:link w:val="a5"/>
    <w:uiPriority w:val="99"/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1F1F1" w:themeColor="accent1" w:themeTint="67" w:sz="4" w:space="0"/>
        <w:left w:val="single" w:color="F1F1F1" w:themeColor="accent1" w:themeTint="67" w:sz="4" w:space="0"/>
        <w:bottom w:val="single" w:color="F1F1F1" w:themeColor="accent1" w:themeTint="67" w:sz="4" w:space="0"/>
        <w:right w:val="single" w:color="F1F1F1" w:themeColor="accent1" w:themeTint="67" w:sz="4" w:space="0"/>
        <w:insideH w:val="single" w:color="F1F1F1" w:themeColor="accent1" w:themeTint="67" w:sz="4" w:space="0"/>
        <w:insideV w:val="single" w:color="F1F1F1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EBEBEB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1F1F1" w:themeColor="accent1" w:themeTint="67" w:sz="4" w:space="0"/>
          <w:left w:val="single" w:color="F1F1F1" w:themeColor="accent1" w:themeTint="67" w:sz="4" w:space="0"/>
          <w:bottom w:val="single" w:color="F1F1F1" w:themeColor="accent1" w:themeTint="67" w:sz="4" w:space="0"/>
          <w:right w:val="single" w:color="F1F1F1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FDFDF" w:themeColor="accent2" w:themeTint="67" w:sz="4" w:space="0"/>
        <w:left w:val="single" w:color="DFDFDF" w:themeColor="accent2" w:themeTint="67" w:sz="4" w:space="0"/>
        <w:bottom w:val="single" w:color="DFDFDF" w:themeColor="accent2" w:themeTint="67" w:sz="4" w:space="0"/>
        <w:right w:val="single" w:color="DFDFDF" w:themeColor="accent2" w:themeTint="67" w:sz="4" w:space="0"/>
        <w:insideH w:val="single" w:color="DFDFDF" w:themeColor="accent2" w:themeTint="67" w:sz="4" w:space="0"/>
        <w:insideV w:val="single" w:color="DFDFDF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2D2D2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FDFDF" w:themeColor="accent2" w:themeTint="67" w:sz="4" w:space="0"/>
          <w:left w:val="single" w:color="DFDFDF" w:themeColor="accent2" w:themeTint="67" w:sz="4" w:space="0"/>
          <w:bottom w:val="single" w:color="DFDFDF" w:themeColor="accent2" w:themeTint="67" w:sz="4" w:space="0"/>
          <w:right w:val="single" w:color="DFDFDF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4D4D4" w:themeColor="accent3" w:themeTint="67" w:sz="4" w:space="0"/>
        <w:left w:val="single" w:color="D4D4D4" w:themeColor="accent3" w:themeTint="67" w:sz="4" w:space="0"/>
        <w:bottom w:val="single" w:color="D4D4D4" w:themeColor="accent3" w:themeTint="67" w:sz="4" w:space="0"/>
        <w:right w:val="single" w:color="D4D4D4" w:themeColor="accent3" w:themeTint="67" w:sz="4" w:space="0"/>
        <w:insideH w:val="single" w:color="D4D4D4" w:themeColor="accent3" w:themeTint="67" w:sz="4" w:space="0"/>
        <w:insideV w:val="single" w:color="D4D4D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1C1C1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4D4D4" w:themeColor="accent3" w:themeTint="67" w:sz="4" w:space="0"/>
          <w:left w:val="single" w:color="D4D4D4" w:themeColor="accent3" w:themeTint="67" w:sz="4" w:space="0"/>
          <w:bottom w:val="single" w:color="D4D4D4" w:themeColor="accent3" w:themeTint="67" w:sz="4" w:space="0"/>
          <w:right w:val="single" w:color="D4D4D4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BCB" w:themeColor="accent4" w:themeTint="67" w:sz="4" w:space="0"/>
        <w:left w:val="single" w:color="CBCBCB" w:themeColor="accent4" w:themeTint="67" w:sz="4" w:space="0"/>
        <w:bottom w:val="single" w:color="CBCBCB" w:themeColor="accent4" w:themeTint="67" w:sz="4" w:space="0"/>
        <w:right w:val="single" w:color="CBCBCB" w:themeColor="accent4" w:themeTint="67" w:sz="4" w:space="0"/>
        <w:insideH w:val="single" w:color="CBCBCB" w:themeColor="accent4" w:themeTint="67" w:sz="4" w:space="0"/>
        <w:insideV w:val="single" w:color="CBCBCB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B4B4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BCB" w:themeColor="accent4" w:themeTint="67" w:sz="4" w:space="0"/>
          <w:left w:val="single" w:color="CBCBCB" w:themeColor="accent4" w:themeTint="67" w:sz="4" w:space="0"/>
          <w:bottom w:val="single" w:color="CBCBCB" w:themeColor="accent4" w:themeTint="67" w:sz="4" w:space="0"/>
          <w:right w:val="single" w:color="CBCBCB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EBEBE" w:themeColor="accent5" w:themeTint="67" w:sz="4" w:space="0"/>
        <w:left w:val="single" w:color="BEBEBE" w:themeColor="accent5" w:themeTint="67" w:sz="4" w:space="0"/>
        <w:bottom w:val="single" w:color="BEBEBE" w:themeColor="accent5" w:themeTint="67" w:sz="4" w:space="0"/>
        <w:right w:val="single" w:color="BEBEBE" w:themeColor="accent5" w:themeTint="67" w:sz="4" w:space="0"/>
        <w:insideH w:val="single" w:color="BEBEBE" w:themeColor="accent5" w:themeTint="67" w:sz="4" w:space="0"/>
        <w:insideV w:val="single" w:color="BEBEB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A1A1A1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EBEBE" w:themeColor="accent5" w:themeTint="67" w:sz="4" w:space="0"/>
          <w:left w:val="single" w:color="BEBEBE" w:themeColor="accent5" w:themeTint="67" w:sz="4" w:space="0"/>
          <w:bottom w:val="single" w:color="BEBEBE" w:themeColor="accent5" w:themeTint="67" w:sz="4" w:space="0"/>
          <w:right w:val="single" w:color="BEBEBE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B7B7" w:themeColor="accent6" w:themeTint="67" w:sz="4" w:space="0"/>
        <w:left w:val="single" w:color="B7B7B7" w:themeColor="accent6" w:themeTint="67" w:sz="4" w:space="0"/>
        <w:bottom w:val="single" w:color="B7B7B7" w:themeColor="accent6" w:themeTint="67" w:sz="4" w:space="0"/>
        <w:right w:val="single" w:color="B7B7B7" w:themeColor="accent6" w:themeTint="67" w:sz="4" w:space="0"/>
        <w:insideH w:val="single" w:color="B7B7B7" w:themeColor="accent6" w:themeTint="67" w:sz="4" w:space="0"/>
        <w:insideV w:val="single" w:color="B7B7B7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969696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B7B7" w:themeColor="accent6" w:themeTint="67" w:sz="4" w:space="0"/>
          <w:left w:val="single" w:color="B7B7B7" w:themeColor="accent6" w:themeTint="67" w:sz="4" w:space="0"/>
          <w:bottom w:val="single" w:color="B7B7B7" w:themeColor="accent6" w:themeTint="67" w:sz="4" w:space="0"/>
          <w:right w:val="single" w:color="B7B7B7" w:themeColor="accent6" w:themeTint="67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FDFDF" w:themeColor="accent1" w:themeTint="EA" w:sz="4" w:space="0"/>
        <w:insideH w:val="single" w:color="DFDFDF" w:themeColor="accent1" w:themeTint="EA" w:sz="4" w:space="0"/>
        <w:insideV w:val="single" w:color="DFDFD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FDFDF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FDFDF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8f8f8" w:themeColor="accent1" w:themeTint="34" w:fill="f8f8f8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1D1D1" w:themeColor="accent2" w:themeTint="97" w:sz="4" w:space="0"/>
        <w:insideH w:val="single" w:color="D1D1D1" w:themeColor="accent2" w:themeTint="97" w:sz="4" w:space="0"/>
        <w:insideV w:val="single" w:color="D1D1D1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1D1D1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1D1D1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efefef" w:themeColor="accent2" w:themeTint="32" w:fill="efefef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69696" w:themeColor="accent3" w:themeTint="FE" w:sz="4" w:space="0"/>
        <w:insideH w:val="single" w:color="969696" w:themeColor="accent3" w:themeTint="FE" w:sz="4" w:space="0"/>
        <w:insideV w:val="single" w:color="969696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69696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69696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9e9e9" w:themeColor="accent3" w:themeTint="34" w:fill="e9e9e9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B2B2" w:themeColor="accent4" w:themeTint="9A" w:sz="4" w:space="0"/>
        <w:insideH w:val="single" w:color="B2B2B2" w:themeColor="accent4" w:themeTint="9A" w:sz="4" w:space="0"/>
        <w:insideV w:val="single" w:color="B2B2B2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B2B2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B2B2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e5e5" w:themeColor="accent4" w:themeTint="34" w:fill="e5e5e5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5F5F" w:themeColor="accent5" w:sz="4" w:space="0"/>
        <w:insideH w:val="single" w:color="5F5F5F" w:themeColor="accent5" w:sz="4" w:space="0"/>
        <w:insideV w:val="single" w:color="5F5F5F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F5F5F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F5F5F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edede" w:themeColor="accent5" w:themeTint="34" w:fill="dedede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D4D4D" w:themeColor="accent6" w:sz="4" w:space="0"/>
        <w:insideH w:val="single" w:color="4D4D4D" w:themeColor="accent6" w:sz="4" w:space="0"/>
        <w:insideV w:val="single" w:color="4D4D4D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D4D4D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D4D4D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dada" w:themeColor="accent6" w:themeTint="34" w:fill="dadada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FDFDF" w:themeColor="accent1" w:themeTint="EA" w:sz="4" w:space="0"/>
        <w:insideH w:val="single" w:color="DFDFDF" w:themeColor="accent1" w:themeTint="EA" w:sz="4" w:space="0"/>
        <w:insideV w:val="single" w:color="DFDFD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8f8f8" w:themeColor="accent1" w:themeTint="34" w:fill="f8f8f8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1D1D1" w:themeColor="accent2" w:themeTint="97" w:sz="4" w:space="0"/>
        <w:insideH w:val="single" w:color="D1D1D1" w:themeColor="accent2" w:themeTint="97" w:sz="4" w:space="0"/>
        <w:insideV w:val="single" w:color="D1D1D1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efefef" w:themeColor="accent2" w:themeTint="32" w:fill="efefef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69696" w:themeColor="accent3" w:themeTint="FE" w:sz="4" w:space="0"/>
        <w:insideH w:val="single" w:color="969696" w:themeColor="accent3" w:themeTint="FE" w:sz="4" w:space="0"/>
        <w:insideV w:val="single" w:color="969696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9e9e9" w:themeColor="accent3" w:themeTint="34" w:fill="e9e9e9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B2B2" w:themeColor="accent4" w:themeTint="9A" w:sz="4" w:space="0"/>
        <w:insideH w:val="single" w:color="B2B2B2" w:themeColor="accent4" w:themeTint="9A" w:sz="4" w:space="0"/>
        <w:insideV w:val="single" w:color="B2B2B2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e5e5" w:themeColor="accent4" w:themeTint="34" w:fill="e5e5e5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5F5F" w:themeColor="accent5" w:sz="4" w:space="0"/>
        <w:insideH w:val="single" w:color="5F5F5F" w:themeColor="accent5" w:sz="4" w:space="0"/>
        <w:insideV w:val="single" w:color="5F5F5F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edede" w:themeColor="accent5" w:themeTint="34" w:fill="dedede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D4D4D" w:themeColor="accent6" w:sz="4" w:space="0"/>
        <w:insideH w:val="single" w:color="4D4D4D" w:themeColor="accent6" w:sz="4" w:space="0"/>
        <w:insideV w:val="single" w:color="4D4D4D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dada" w:themeColor="accent6" w:themeTint="34" w:fill="dadada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EBEBEB" w:themeColor="accent1" w:themeTint="90" w:sz="4" w:space="0"/>
        <w:left w:val="single" w:color="EBEBEB" w:themeColor="accent1" w:themeTint="90" w:sz="4" w:space="0"/>
        <w:bottom w:val="single" w:color="EBEBEB" w:themeColor="accent1" w:themeTint="90" w:sz="4" w:space="0"/>
        <w:right w:val="single" w:color="EBEBEB" w:themeColor="accent1" w:themeTint="90" w:sz="4" w:space="0"/>
        <w:insideH w:val="single" w:color="EBEBEB" w:themeColor="accent1" w:themeTint="90" w:sz="4" w:space="0"/>
        <w:insideV w:val="single" w:color="EBEBEB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FDFDF" w:themeColor="accent1" w:themeTint="EA" w:sz="4" w:space="0"/>
          <w:left w:val="single" w:color="DFDFDF" w:themeColor="accent1" w:themeTint="EA" w:sz="4" w:space="0"/>
          <w:bottom w:val="single" w:color="DFDFDF" w:themeColor="accent1" w:themeTint="EA" w:sz="4" w:space="0"/>
          <w:right w:val="single" w:color="DFDFDF" w:themeColor="accent1" w:themeTint="EA" w:sz="4" w:space="0"/>
        </w:tcBorders>
        <w:shd w:val="clear" w:color="dfdfdf" w:themeColor="accent1" w:themeTint="EA" w:fill="dfdfdf" w:themeFill="accent1" w:themeFillTint="EA"/>
      </w:tcPr>
    </w:tblStylePr>
    <w:tblStylePr w:type="lastRow">
      <w:rPr>
        <w:b/>
        <w:color w:val="404040"/>
      </w:rPr>
      <w:tcPr>
        <w:tcBorders>
          <w:top w:val="single" w:color="DFDFD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f8f8" w:themeColor="accent1" w:themeTint="32" w:fill="f8f8f8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8f8f8" w:themeColor="accent1" w:themeTint="32" w:fill="f8f8f8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3D3D3" w:themeColor="accent2" w:themeTint="90" w:sz="4" w:space="0"/>
        <w:left w:val="single" w:color="D3D3D3" w:themeColor="accent2" w:themeTint="90" w:sz="4" w:space="0"/>
        <w:bottom w:val="single" w:color="D3D3D3" w:themeColor="accent2" w:themeTint="90" w:sz="4" w:space="0"/>
        <w:right w:val="single" w:color="D3D3D3" w:themeColor="accent2" w:themeTint="90" w:sz="4" w:space="0"/>
        <w:insideH w:val="single" w:color="D3D3D3" w:themeColor="accent2" w:themeTint="90" w:sz="4" w:space="0"/>
        <w:insideV w:val="single" w:color="D3D3D3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1D1D1" w:themeColor="accent2" w:themeTint="97" w:sz="4" w:space="0"/>
          <w:left w:val="single" w:color="D1D1D1" w:themeColor="accent2" w:themeTint="97" w:sz="4" w:space="0"/>
          <w:bottom w:val="single" w:color="D1D1D1" w:themeColor="accent2" w:themeTint="97" w:sz="4" w:space="0"/>
          <w:right w:val="single" w:color="D1D1D1" w:themeColor="accent2" w:themeTint="97" w:sz="4" w:space="0"/>
        </w:tcBorders>
        <w:shd w:val="clear" w:color="d1d1d1" w:themeColor="accent2" w:themeTint="97" w:fill="d1d1d1" w:themeFill="accent2" w:themeFillTint="97"/>
      </w:tcPr>
    </w:tblStylePr>
    <w:tblStylePr w:type="lastRow">
      <w:rPr>
        <w:b/>
        <w:color w:val="404040"/>
      </w:rPr>
      <w:tcPr>
        <w:tcBorders>
          <w:top w:val="single" w:color="D1D1D1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efefef" w:themeColor="accent2" w:themeTint="32" w:fill="efefef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3C3C3" w:themeColor="accent3" w:themeTint="90" w:sz="4" w:space="0"/>
        <w:left w:val="single" w:color="C3C3C3" w:themeColor="accent3" w:themeTint="90" w:sz="4" w:space="0"/>
        <w:bottom w:val="single" w:color="C3C3C3" w:themeColor="accent3" w:themeTint="90" w:sz="4" w:space="0"/>
        <w:right w:val="single" w:color="C3C3C3" w:themeColor="accent3" w:themeTint="90" w:sz="4" w:space="0"/>
        <w:insideH w:val="single" w:color="C3C3C3" w:themeColor="accent3" w:themeTint="90" w:sz="4" w:space="0"/>
        <w:insideV w:val="single" w:color="C3C3C3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69696" w:themeColor="accent3" w:themeTint="FE" w:sz="4" w:space="0"/>
          <w:left w:val="single" w:color="969696" w:themeColor="accent3" w:themeTint="FE" w:sz="4" w:space="0"/>
          <w:bottom w:val="single" w:color="969696" w:themeColor="accent3" w:themeTint="FE" w:sz="4" w:space="0"/>
          <w:right w:val="single" w:color="969696" w:themeColor="accent3" w:themeTint="FE" w:sz="4" w:space="0"/>
        </w:tcBorders>
        <w:shd w:val="clear" w:color="969696" w:themeColor="accent3" w:themeTint="FE" w:fill="969696" w:themeFill="accent3" w:themeFillTint="FE"/>
      </w:tcPr>
    </w:tblStylePr>
    <w:tblStylePr w:type="lastRow">
      <w:rPr>
        <w:b/>
        <w:color w:val="404040"/>
      </w:rPr>
      <w:tcPr>
        <w:tcBorders>
          <w:top w:val="single" w:color="969696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9e9e9" w:themeColor="accent3" w:themeTint="34" w:fill="e9e9e9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B7B7" w:themeColor="accent4" w:themeTint="90" w:sz="4" w:space="0"/>
        <w:left w:val="single" w:color="B7B7B7" w:themeColor="accent4" w:themeTint="90" w:sz="4" w:space="0"/>
        <w:bottom w:val="single" w:color="B7B7B7" w:themeColor="accent4" w:themeTint="90" w:sz="4" w:space="0"/>
        <w:right w:val="single" w:color="B7B7B7" w:themeColor="accent4" w:themeTint="90" w:sz="4" w:space="0"/>
        <w:insideH w:val="single" w:color="B7B7B7" w:themeColor="accent4" w:themeTint="90" w:sz="4" w:space="0"/>
        <w:insideV w:val="single" w:color="B7B7B7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B2B2" w:themeColor="accent4" w:themeTint="9A" w:sz="4" w:space="0"/>
          <w:left w:val="single" w:color="B2B2B2" w:themeColor="accent4" w:themeTint="9A" w:sz="4" w:space="0"/>
          <w:bottom w:val="single" w:color="B2B2B2" w:themeColor="accent4" w:themeTint="9A" w:sz="4" w:space="0"/>
          <w:right w:val="single" w:color="B2B2B2" w:themeColor="accent4" w:themeTint="9A" w:sz="4" w:space="0"/>
        </w:tcBorders>
        <w:shd w:val="clear" w:color="b2b2b2" w:themeColor="accent4" w:themeTint="9A" w:fill="b2b2b2" w:themeFill="accent4" w:themeFillTint="9A"/>
      </w:tcPr>
    </w:tblStylePr>
    <w:tblStylePr w:type="lastRow">
      <w:rPr>
        <w:b/>
        <w:color w:val="404040"/>
      </w:rPr>
      <w:tcPr>
        <w:tcBorders>
          <w:top w:val="single" w:color="B2B2B2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e5e5" w:themeColor="accent4" w:themeTint="34" w:fill="e5e5e5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4A4A4" w:themeColor="accent5" w:themeTint="90" w:sz="4" w:space="0"/>
        <w:left w:val="single" w:color="A4A4A4" w:themeColor="accent5" w:themeTint="90" w:sz="4" w:space="0"/>
        <w:bottom w:val="single" w:color="A4A4A4" w:themeColor="accent5" w:themeTint="90" w:sz="4" w:space="0"/>
        <w:right w:val="single" w:color="A4A4A4" w:themeColor="accent5" w:themeTint="90" w:sz="4" w:space="0"/>
        <w:insideH w:val="single" w:color="A4A4A4" w:themeColor="accent5" w:themeTint="90" w:sz="4" w:space="0"/>
        <w:insideV w:val="single" w:color="A4A4A4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F5F5F" w:themeColor="accent5" w:sz="4" w:space="0"/>
          <w:left w:val="single" w:color="5F5F5F" w:themeColor="accent5" w:sz="4" w:space="0"/>
          <w:bottom w:val="single" w:color="5F5F5F" w:themeColor="accent5" w:sz="4" w:space="0"/>
          <w:right w:val="single" w:color="5F5F5F" w:themeColor="accent5" w:sz="4" w:space="0"/>
        </w:tcBorders>
        <w:shd w:val="clear" w:color="5f5f5f" w:themeColor="accent5" w:fill="5f5f5f" w:themeFill="accent5"/>
      </w:tcPr>
    </w:tblStylePr>
    <w:tblStylePr w:type="lastRow">
      <w:rPr>
        <w:b/>
        <w:color w:val="404040"/>
      </w:rPr>
      <w:tcPr>
        <w:tcBorders>
          <w:top w:val="single" w:color="5F5F5F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edede" w:themeColor="accent5" w:themeTint="34" w:fill="dedede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A9A9A" w:themeColor="accent6" w:themeTint="90" w:sz="4" w:space="0"/>
        <w:left w:val="single" w:color="9A9A9A" w:themeColor="accent6" w:themeTint="90" w:sz="4" w:space="0"/>
        <w:bottom w:val="single" w:color="9A9A9A" w:themeColor="accent6" w:themeTint="90" w:sz="4" w:space="0"/>
        <w:right w:val="single" w:color="9A9A9A" w:themeColor="accent6" w:themeTint="90" w:sz="4" w:space="0"/>
        <w:insideH w:val="single" w:color="9A9A9A" w:themeColor="accent6" w:themeTint="90" w:sz="4" w:space="0"/>
        <w:insideV w:val="single" w:color="9A9A9A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D4D4D" w:themeColor="accent6" w:sz="4" w:space="0"/>
          <w:left w:val="single" w:color="4D4D4D" w:themeColor="accent6" w:sz="4" w:space="0"/>
          <w:bottom w:val="single" w:color="4D4D4D" w:themeColor="accent6" w:sz="4" w:space="0"/>
          <w:right w:val="single" w:color="4D4D4D" w:themeColor="accent6" w:sz="4" w:space="0"/>
        </w:tcBorders>
        <w:shd w:val="clear" w:color="4d4d4d" w:themeColor="accent6" w:fill="4d4d4d" w:themeFill="accent6"/>
      </w:tcPr>
    </w:tblStylePr>
    <w:tblStylePr w:type="lastRow">
      <w:rPr>
        <w:b/>
        <w:color w:val="404040"/>
      </w:rPr>
      <w:tcPr>
        <w:tcBorders>
          <w:top w:val="single" w:color="4D4D4D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dada" w:themeColor="accent6" w:themeTint="34" w:fill="dadada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8f8f8" w:themeColor="accent1" w:themeTint="34" w:fill="f8f8f8" w:themeFill="accent1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dddddd" w:themeColor="accent1" w:fill="ddddd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dddddd" w:themeColor="accent1" w:fill="ddddd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dddddd" w:themeColor="accent1" w:fill="ddddd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dddddd" w:themeColor="accent1" w:fill="dddddd" w:themeFill="accent1"/>
      </w:tcPr>
    </w:tblStylePr>
    <w:tblStylePr w:type="band1Vert">
      <w:tcPr>
        <w:shd w:val="clear" w:color="efefef" w:themeColor="accent1" w:themeTint="75" w:fill="efefef" w:themeFill="accent1" w:themeFillTint="75"/>
      </w:tcPr>
    </w:tblStylePr>
    <w:tblStylePr w:type="band1Horz">
      <w:tcPr>
        <w:shd w:val="clear" w:color="efefef" w:themeColor="accent1" w:themeTint="75" w:fill="efefef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fefef" w:themeColor="accent2" w:themeTint="32" w:fill="efefef" w:themeFill="accent2" w:themeFillTint="32"/>
    </w:tblPr>
    <w:tblStylePr w:type="firstRow">
      <w:rPr>
        <w:rFonts w:ascii="Arial" w:hAnsi="Arial"/>
        <w:b/>
        <w:color w:val="ffffff"/>
        <w:sz w:val="22"/>
      </w:rPr>
      <w:tcPr>
        <w:shd w:val="clear" w:color="b2b2b2" w:themeColor="accent2" w:fill="b2b2b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b2b2b2" w:themeColor="accent2" w:fill="b2b2b2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b2b2b2" w:themeColor="accent2" w:fill="b2b2b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b2b2b2" w:themeColor="accent2" w:fill="b2b2b2" w:themeFill="accent2"/>
      </w:tcPr>
    </w:tblStylePr>
    <w:tblStylePr w:type="band1Vert">
      <w:tcPr>
        <w:shd w:val="clear" w:color="dbdbdb" w:themeColor="accent2" w:themeTint="75" w:fill="dbdbdb" w:themeFill="accent2" w:themeFillTint="75"/>
      </w:tcPr>
    </w:tblStylePr>
    <w:tblStylePr w:type="band1Horz">
      <w:tcPr>
        <w:shd w:val="clear" w:color="dbdbdb" w:themeColor="accent2" w:themeTint="75" w:fill="dbdbdb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9e9e9" w:themeColor="accent3" w:themeTint="34" w:fill="e9e9e9" w:themeFill="accent3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969696" w:themeColor="accent3" w:fill="969696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69696" w:themeColor="accent3" w:fill="969696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69696" w:themeColor="accent3" w:fill="969696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69696" w:themeColor="accent3" w:fill="969696" w:themeFill="accent3"/>
      </w:tcPr>
    </w:tblStylePr>
    <w:tblStylePr w:type="band1Vert">
      <w:tcPr>
        <w:shd w:val="clear" w:color="cecece" w:themeColor="accent3" w:themeTint="75" w:fill="cecece" w:themeFill="accent3" w:themeFillTint="75"/>
      </w:tcPr>
    </w:tblStylePr>
    <w:tblStylePr w:type="band1Horz">
      <w:tcPr>
        <w:shd w:val="clear" w:color="cecece" w:themeColor="accent3" w:themeTint="75" w:fill="cecece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e5e5" w:themeColor="accent4" w:themeTint="34" w:fill="e5e5e5" w:themeFill="accent4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808080" w:themeColor="accent4" w:fill="80808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8080" w:themeColor="accent4" w:fill="80808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8080" w:themeColor="accent4" w:fill="80808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8080" w:themeColor="accent4" w:fill="808080" w:themeFill="accent4"/>
      </w:tcPr>
    </w:tblStylePr>
    <w:tblStylePr w:type="band1Vert">
      <w:tcPr>
        <w:shd w:val="clear" w:color="c4c4c4" w:themeColor="accent4" w:themeTint="75" w:fill="c4c4c4" w:themeFill="accent4" w:themeFillTint="75"/>
      </w:tcPr>
    </w:tblStylePr>
    <w:tblStylePr w:type="band1Horz">
      <w:tcPr>
        <w:shd w:val="clear" w:color="c4c4c4" w:themeColor="accent4" w:themeTint="75" w:fill="c4c4c4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edede" w:themeColor="accent5" w:themeTint="34" w:fill="dedede" w:themeFill="accent5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5f5f5f" w:themeColor="accent5" w:fill="5f5f5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f5f5f" w:themeColor="accent5" w:fill="5f5f5f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f5f5f" w:themeColor="accent5" w:fill="5f5f5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f5f5f" w:themeColor="accent5" w:fill="5f5f5f" w:themeFill="accent5"/>
      </w:tcPr>
    </w:tblStylePr>
    <w:tblStylePr w:type="band1Vert">
      <w:tcPr>
        <w:shd w:val="clear" w:color="b5b5b5" w:themeColor="accent5" w:themeTint="75" w:fill="b5b5b5" w:themeFill="accent5" w:themeFillTint="75"/>
      </w:tcPr>
    </w:tblStylePr>
    <w:tblStylePr w:type="band1Horz">
      <w:tcPr>
        <w:shd w:val="clear" w:color="b5b5b5" w:themeColor="accent5" w:themeTint="75" w:fill="b5b5b5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dada" w:themeColor="accent6" w:themeTint="34" w:fill="dadada" w:themeFill="accent6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4d4d4d" w:themeColor="accent6" w:fill="4d4d4d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d4d4d" w:themeColor="accent6" w:fill="4d4d4d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d4d4d" w:themeColor="accent6" w:fill="4d4d4d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d4d4d" w:themeColor="accent6" w:fill="4d4d4d" w:themeFill="accent6"/>
      </w:tcPr>
    </w:tblStylePr>
    <w:tblStylePr w:type="band1Vert">
      <w:tcPr>
        <w:shd w:val="clear" w:color="adadad" w:themeColor="accent6" w:themeTint="75" w:fill="adadad" w:themeFill="accent6" w:themeFillTint="75"/>
      </w:tcPr>
    </w:tblStylePr>
    <w:tblStylePr w:type="band1Horz">
      <w:tcPr>
        <w:shd w:val="clear" w:color="adadad" w:themeColor="accent6" w:themeTint="75" w:fill="adadad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DEDED" w:themeColor="accent1" w:themeTint="80" w:sz="4" w:space="0"/>
        <w:left w:val="single" w:color="EDEDED" w:themeColor="accent1" w:themeTint="80" w:sz="4" w:space="0"/>
        <w:bottom w:val="single" w:color="EDEDED" w:themeColor="accent1" w:themeTint="80" w:sz="4" w:space="0"/>
        <w:right w:val="single" w:color="EDEDED" w:themeColor="accent1" w:themeTint="80" w:sz="4" w:space="0"/>
        <w:insideH w:val="single" w:color="EDEDED" w:themeColor="accent1" w:themeTint="80" w:sz="4" w:space="0"/>
        <w:insideV w:val="single" w:color="EDEDED" w:themeColor="accent1" w:themeTint="80" w:sz="4" w:space="0"/>
      </w:tblBorders>
    </w:tblPr>
    <w:tblStylePr w:type="firstRow">
      <w:rPr>
        <w:b/>
        <w:color w:val="ededed" w:themeColor="accent1" w:themeTint="80" w:themeShade="95"/>
      </w:rPr>
      <w:tcPr>
        <w:tcBorders>
          <w:bottom w:val="single" w:color="EDEDED" w:themeColor="accent1" w:themeTint="80" w:sz="12" w:space="0"/>
        </w:tcBorders>
      </w:tcPr>
    </w:tblStylePr>
    <w:tblStylePr w:type="lastRow">
      <w:rPr>
        <w:b/>
        <w:color w:val="ededed" w:themeColor="accent1" w:themeTint="80" w:themeShade="95"/>
      </w:rPr>
    </w:tblStylePr>
    <w:tblStylePr w:type="firstCol">
      <w:rPr>
        <w:b/>
        <w:color w:val="ededed" w:themeColor="accent1" w:themeTint="80" w:themeShade="95"/>
      </w:rPr>
    </w:tblStylePr>
    <w:tblStylePr w:type="lastCol">
      <w:rPr>
        <w:b/>
        <w:color w:val="ededed" w:themeColor="accent1" w:themeTint="80" w:themeShade="95"/>
      </w:rPr>
    </w:tblStylePr>
    <w:tblStylePr w:type="band1Vert"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ededed" w:themeColor="accent1" w:themeTint="80" w:themeShade="95"/>
        <w:sz w:val="22"/>
      </w:rPr>
      <w:tcPr>
        <w:shd w:val="clear" w:color="f8f8f8" w:themeColor="accent1" w:themeTint="34" w:fill="f8f8f8" w:themeFill="accent1" w:themeFillTint="34"/>
      </w:tcPr>
    </w:tblStylePr>
    <w:tblStylePr w:type="band2Horz">
      <w:rPr>
        <w:rFonts w:ascii="Arial" w:hAnsi="Arial"/>
        <w:color w:val="edede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1D1D1" w:themeColor="accent2" w:themeTint="97" w:sz="4" w:space="0"/>
        <w:left w:val="single" w:color="D1D1D1" w:themeColor="accent2" w:themeTint="97" w:sz="4" w:space="0"/>
        <w:bottom w:val="single" w:color="D1D1D1" w:themeColor="accent2" w:themeTint="97" w:sz="4" w:space="0"/>
        <w:right w:val="single" w:color="D1D1D1" w:themeColor="accent2" w:themeTint="97" w:sz="4" w:space="0"/>
        <w:insideH w:val="single" w:color="D1D1D1" w:themeColor="accent2" w:themeTint="97" w:sz="4" w:space="0"/>
        <w:insideV w:val="single" w:color="D1D1D1" w:themeColor="accent2" w:themeTint="97" w:sz="4" w:space="0"/>
      </w:tblBorders>
    </w:tblPr>
    <w:tblStylePr w:type="firstRow">
      <w:rPr>
        <w:b/>
        <w:color w:val="d1d1d1" w:themeColor="accent2" w:themeTint="97" w:themeShade="95"/>
      </w:rPr>
      <w:tcPr>
        <w:tcBorders>
          <w:bottom w:val="single" w:color="D1D1D1" w:themeColor="accent2" w:themeTint="97" w:sz="12" w:space="0"/>
        </w:tcBorders>
      </w:tcPr>
    </w:tblStylePr>
    <w:tblStylePr w:type="lastRow">
      <w:rPr>
        <w:b/>
        <w:color w:val="d1d1d1" w:themeColor="accent2" w:themeTint="97" w:themeShade="95"/>
      </w:rPr>
    </w:tblStylePr>
    <w:tblStylePr w:type="firstCol">
      <w:rPr>
        <w:b/>
        <w:color w:val="d1d1d1" w:themeColor="accent2" w:themeTint="97" w:themeShade="95"/>
      </w:rPr>
    </w:tblStylePr>
    <w:tblStylePr w:type="lastCol">
      <w:rPr>
        <w:b/>
        <w:color w:val="d1d1d1" w:themeColor="accent2" w:themeTint="97" w:themeShade="95"/>
      </w:rPr>
    </w:tblStylePr>
    <w:tblStylePr w:type="band1Vert"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cPr>
        <w:shd w:val="clear" w:color="efefef" w:themeColor="accent2" w:themeTint="32" w:fill="efefef" w:themeFill="accent2" w:themeFillTint="32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69696" w:themeColor="accent3" w:themeTint="FE" w:sz="4" w:space="0"/>
        <w:left w:val="single" w:color="969696" w:themeColor="accent3" w:themeTint="FE" w:sz="4" w:space="0"/>
        <w:bottom w:val="single" w:color="969696" w:themeColor="accent3" w:themeTint="FE" w:sz="4" w:space="0"/>
        <w:right w:val="single" w:color="969696" w:themeColor="accent3" w:themeTint="FE" w:sz="4" w:space="0"/>
        <w:insideH w:val="single" w:color="969696" w:themeColor="accent3" w:themeTint="FE" w:sz="4" w:space="0"/>
        <w:insideV w:val="single" w:color="969696" w:themeColor="accent3" w:themeTint="FE" w:sz="4" w:space="0"/>
      </w:tblBorders>
    </w:tblPr>
    <w:tblStylePr w:type="firstRow">
      <w:rPr>
        <w:b/>
        <w:color w:val="969696" w:themeColor="accent3" w:themeTint="FE" w:themeShade="95"/>
      </w:rPr>
      <w:tcPr>
        <w:tcBorders>
          <w:bottom w:val="single" w:color="969696" w:themeColor="accent3" w:themeTint="FE" w:sz="12" w:space="0"/>
        </w:tcBorders>
      </w:tcPr>
    </w:tblStylePr>
    <w:tblStylePr w:type="lastRow">
      <w:rPr>
        <w:b/>
        <w:color w:val="969696" w:themeColor="accent3" w:themeTint="FE" w:themeShade="95"/>
      </w:rPr>
    </w:tblStylePr>
    <w:tblStylePr w:type="firstCol">
      <w:rPr>
        <w:b/>
        <w:color w:val="969696" w:themeColor="accent3" w:themeTint="FE" w:themeShade="95"/>
      </w:rPr>
    </w:tblStylePr>
    <w:tblStylePr w:type="lastCol">
      <w:rPr>
        <w:b/>
        <w:color w:val="969696" w:themeColor="accent3" w:themeTint="FE" w:themeShade="95"/>
      </w:rPr>
    </w:tblStylePr>
    <w:tblStylePr w:type="band1Vert"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969696" w:themeColor="accent3" w:themeTint="FE" w:themeShade="95"/>
        <w:sz w:val="22"/>
      </w:rPr>
      <w:tcPr>
        <w:shd w:val="clear" w:color="e9e9e9" w:themeColor="accent3" w:themeTint="34" w:fill="e9e9e9" w:themeFill="accent3" w:themeFillTint="34"/>
      </w:tcPr>
    </w:tblStylePr>
    <w:tblStylePr w:type="band2Horz">
      <w:rPr>
        <w:rFonts w:ascii="Arial" w:hAnsi="Arial"/>
        <w:color w:val="969696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B2B2" w:themeColor="accent4" w:themeTint="9A" w:sz="4" w:space="0"/>
        <w:left w:val="single" w:color="B2B2B2" w:themeColor="accent4" w:themeTint="9A" w:sz="4" w:space="0"/>
        <w:bottom w:val="single" w:color="B2B2B2" w:themeColor="accent4" w:themeTint="9A" w:sz="4" w:space="0"/>
        <w:right w:val="single" w:color="B2B2B2" w:themeColor="accent4" w:themeTint="9A" w:sz="4" w:space="0"/>
        <w:insideH w:val="single" w:color="B2B2B2" w:themeColor="accent4" w:themeTint="9A" w:sz="4" w:space="0"/>
        <w:insideV w:val="single" w:color="B2B2B2" w:themeColor="accent4" w:themeTint="9A" w:sz="4" w:space="0"/>
      </w:tblBorders>
    </w:tblPr>
    <w:tblStylePr w:type="firstRow">
      <w:rPr>
        <w:b/>
        <w:color w:val="b2b2b2" w:themeColor="accent4" w:themeTint="9A" w:themeShade="95"/>
      </w:rPr>
      <w:tcPr>
        <w:tcBorders>
          <w:bottom w:val="single" w:color="B2B2B2" w:themeColor="accent4" w:themeTint="9A" w:sz="12" w:space="0"/>
        </w:tcBorders>
      </w:tcPr>
    </w:tblStylePr>
    <w:tblStylePr w:type="lastRow">
      <w:rPr>
        <w:b/>
        <w:color w:val="b2b2b2" w:themeColor="accent4" w:themeTint="9A" w:themeShade="95"/>
      </w:rPr>
    </w:tblStylePr>
    <w:tblStylePr w:type="firstCol">
      <w:rPr>
        <w:b/>
        <w:color w:val="b2b2b2" w:themeColor="accent4" w:themeTint="9A" w:themeShade="95"/>
      </w:rPr>
    </w:tblStylePr>
    <w:tblStylePr w:type="lastCol">
      <w:rPr>
        <w:b/>
        <w:color w:val="b2b2b2" w:themeColor="accent4" w:themeTint="9A" w:themeShade="95"/>
      </w:rPr>
    </w:tblStylePr>
    <w:tblStylePr w:type="band1Vert"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cPr>
        <w:shd w:val="clear" w:color="e5e5e5" w:themeColor="accent4" w:themeTint="34" w:fill="e5e5e5" w:themeFill="accent4" w:themeFillTint="34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5F5F" w:themeColor="accent5" w:sz="4" w:space="0"/>
        <w:left w:val="single" w:color="5F5F5F" w:themeColor="accent5" w:sz="4" w:space="0"/>
        <w:bottom w:val="single" w:color="5F5F5F" w:themeColor="accent5" w:sz="4" w:space="0"/>
        <w:right w:val="single" w:color="5F5F5F" w:themeColor="accent5" w:sz="4" w:space="0"/>
        <w:insideH w:val="single" w:color="5F5F5F" w:themeColor="accent5" w:sz="4" w:space="0"/>
        <w:insideV w:val="single" w:color="5F5F5F" w:themeColor="accent5" w:sz="4" w:space="0"/>
      </w:tblBorders>
    </w:tblPr>
    <w:tblStylePr w:type="firstRow">
      <w:rPr>
        <w:b/>
        <w:color w:val="373737" w:themeColor="accent5" w:themeShade="95"/>
      </w:rPr>
      <w:tcPr>
        <w:tcBorders>
          <w:bottom w:val="single" w:color="5F5F5F" w:themeColor="accent5" w:sz="12" w:space="0"/>
        </w:tcBorders>
      </w:tcPr>
    </w:tblStylePr>
    <w:tblStylePr w:type="lastRow">
      <w:rPr>
        <w:b/>
        <w:color w:val="373737" w:themeColor="accent5" w:themeShade="95"/>
      </w:rPr>
    </w:tblStylePr>
    <w:tblStylePr w:type="firstCol">
      <w:rPr>
        <w:b/>
        <w:color w:val="373737" w:themeColor="accent5" w:themeShade="95"/>
      </w:rPr>
    </w:tblStylePr>
    <w:tblStylePr w:type="lastCol">
      <w:rPr>
        <w:b/>
        <w:color w:val="373737" w:themeColor="accent5" w:themeShade="95"/>
      </w:rPr>
    </w:tblStylePr>
    <w:tblStylePr w:type="band1Vert"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cPr>
        <w:shd w:val="clear" w:color="dedede" w:themeColor="accent5" w:themeTint="34" w:fill="dedede" w:themeFill="accent5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D4D4D" w:themeColor="accent6" w:sz="4" w:space="0"/>
        <w:left w:val="single" w:color="4D4D4D" w:themeColor="accent6" w:sz="4" w:space="0"/>
        <w:bottom w:val="single" w:color="4D4D4D" w:themeColor="accent6" w:sz="4" w:space="0"/>
        <w:right w:val="single" w:color="4D4D4D" w:themeColor="accent6" w:sz="4" w:space="0"/>
        <w:insideH w:val="single" w:color="4D4D4D" w:themeColor="accent6" w:sz="4" w:space="0"/>
        <w:insideV w:val="single" w:color="4D4D4D" w:themeColor="accent6" w:sz="4" w:space="0"/>
      </w:tblBorders>
    </w:tblPr>
    <w:tblStylePr w:type="firstRow">
      <w:rPr>
        <w:b/>
        <w:color w:val="373737" w:themeColor="accent5" w:themeShade="95"/>
      </w:rPr>
      <w:tcPr>
        <w:tcBorders>
          <w:bottom w:val="single" w:color="4D4D4D" w:themeColor="accent6" w:sz="12" w:space="0"/>
        </w:tcBorders>
      </w:tcPr>
    </w:tblStylePr>
    <w:tblStylePr w:type="lastRow">
      <w:rPr>
        <w:b/>
        <w:color w:val="373737" w:themeColor="accent5" w:themeShade="95"/>
      </w:rPr>
    </w:tblStylePr>
    <w:tblStylePr w:type="firstCol">
      <w:rPr>
        <w:b/>
        <w:color w:val="373737" w:themeColor="accent5" w:themeShade="95"/>
      </w:rPr>
    </w:tblStylePr>
    <w:tblStylePr w:type="lastCol">
      <w:rPr>
        <w:b/>
        <w:color w:val="373737" w:themeColor="accent5" w:themeShade="95"/>
      </w:rPr>
    </w:tblStylePr>
    <w:tblStylePr w:type="band1Vert"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cPr>
        <w:shd w:val="clear" w:color="dadada" w:themeColor="accent6" w:themeTint="34" w:fill="dadada" w:themeFill="accent6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EDEDED" w:themeColor="accent1" w:themeTint="80" w:sz="4" w:space="0"/>
        <w:right w:val="single" w:color="EDEDED" w:themeColor="accent1" w:themeTint="80" w:sz="4" w:space="0"/>
        <w:insideH w:val="single" w:color="EDEDED" w:themeColor="accent1" w:themeTint="80" w:sz="4" w:space="0"/>
        <w:insideV w:val="single" w:color="EDEDED" w:themeColor="accent1" w:themeTint="80" w:sz="4" w:space="0"/>
      </w:tblBorders>
    </w:tblPr>
    <w:tblStylePr w:type="firstRow">
      <w:rPr>
        <w:rFonts w:ascii="Arial" w:hAnsi="Arial"/>
        <w:b/>
        <w:color w:val="ededed" w:themeColor="accen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EDEDED" w:themeColor="accen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deded" w:themeColor="accent1" w:themeTint="80" w:themeShade="95"/>
        <w:sz w:val="22"/>
      </w:rPr>
      <w:tcPr>
        <w:tcBorders>
          <w:top w:val="single" w:color="EDEDE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ededed" w:themeColor="accen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EDE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deded" w:themeColor="accent1" w:themeTint="80" w:themeShade="95"/>
        <w:sz w:val="22"/>
      </w:rPr>
      <w:tcPr>
        <w:tcBorders>
          <w:top w:val="none" w:color="000000" w:sz="0" w:space="0"/>
          <w:left w:val="single" w:color="EDEDED" w:themeColor="accen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f8f8f8" w:themeColor="accent1" w:themeTint="34" w:fill="f8f8f8" w:themeFill="accent1" w:themeFillTint="34"/>
      </w:tcPr>
    </w:tblStylePr>
    <w:tblStylePr w:type="band1Horz">
      <w:rPr>
        <w:rFonts w:ascii="Arial" w:hAnsi="Arial"/>
        <w:color w:val="ededed" w:themeColor="accent1" w:themeTint="80" w:themeShade="95"/>
        <w:sz w:val="22"/>
      </w:rPr>
      <w:tcPr>
        <w:shd w:val="clear" w:color="f8f8f8" w:themeColor="accent1" w:themeTint="34" w:fill="f8f8f8" w:themeFill="accent1" w:themeFillTint="34"/>
      </w:tcPr>
    </w:tblStylePr>
    <w:tblStylePr w:type="band2Horz">
      <w:rPr>
        <w:rFonts w:ascii="Arial" w:hAnsi="Arial"/>
        <w:color w:val="edede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1D1D1" w:themeColor="accent2" w:themeTint="97" w:sz="4" w:space="0"/>
        <w:right w:val="single" w:color="D1D1D1" w:themeColor="accent2" w:themeTint="97" w:sz="4" w:space="0"/>
        <w:insideH w:val="single" w:color="D1D1D1" w:themeColor="accent2" w:themeTint="97" w:sz="4" w:space="0"/>
        <w:insideV w:val="single" w:color="D1D1D1" w:themeColor="accent2" w:themeTint="97" w:sz="4" w:space="0"/>
      </w:tblBorders>
    </w:tblPr>
    <w:tblStylePr w:type="firstRow">
      <w:rPr>
        <w:rFonts w:ascii="Arial" w:hAnsi="Arial"/>
        <w:b/>
        <w:color w:val="d1d1d1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1D1D1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1d1d1" w:themeColor="accent2" w:themeTint="97" w:themeShade="95"/>
        <w:sz w:val="22"/>
      </w:rPr>
      <w:tcPr>
        <w:tcBorders>
          <w:top w:val="single" w:color="D1D1D1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1d1d1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1D1D1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1d1d1" w:themeColor="accent2" w:themeTint="97" w:themeShade="95"/>
        <w:sz w:val="22"/>
      </w:rPr>
      <w:tcPr>
        <w:tcBorders>
          <w:top w:val="none" w:color="000000" w:sz="0" w:space="0"/>
          <w:left w:val="single" w:color="D1D1D1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cPr>
        <w:shd w:val="clear" w:color="efefef" w:themeColor="accent2" w:themeTint="32" w:fill="efefef" w:themeFill="accent2" w:themeFillTint="32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69696" w:themeColor="accent3" w:themeTint="FE" w:sz="4" w:space="0"/>
        <w:right w:val="single" w:color="969696" w:themeColor="accent3" w:themeTint="FE" w:sz="4" w:space="0"/>
        <w:insideH w:val="single" w:color="969696" w:themeColor="accent3" w:themeTint="FE" w:sz="4" w:space="0"/>
        <w:insideV w:val="single" w:color="969696" w:themeColor="accent3" w:themeTint="FE" w:sz="4" w:space="0"/>
      </w:tblBorders>
    </w:tblPr>
    <w:tblStylePr w:type="firstRow">
      <w:rPr>
        <w:rFonts w:ascii="Arial" w:hAnsi="Arial"/>
        <w:b/>
        <w:color w:val="969696" w:themeColor="accent3" w:themeTint="FE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69696" w:themeColor="accent3" w:themeTint="FE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69696" w:themeColor="accent3" w:themeTint="FE" w:themeShade="95"/>
        <w:sz w:val="22"/>
      </w:rPr>
      <w:tcPr>
        <w:tcBorders>
          <w:top w:val="single" w:color="969696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69696" w:themeColor="accent3" w:themeTint="FE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69696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69696" w:themeColor="accent3" w:themeTint="FE" w:themeShade="95"/>
        <w:sz w:val="22"/>
      </w:rPr>
      <w:tcPr>
        <w:tcBorders>
          <w:top w:val="none" w:color="000000" w:sz="0" w:space="0"/>
          <w:left w:val="single" w:color="969696" w:themeColor="accent3" w:themeTint="FE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969696" w:themeColor="accent3" w:themeTint="FE" w:themeShade="95"/>
        <w:sz w:val="22"/>
      </w:rPr>
      <w:tcPr>
        <w:shd w:val="clear" w:color="e9e9e9" w:themeColor="accent3" w:themeTint="34" w:fill="e9e9e9" w:themeFill="accent3" w:themeFillTint="34"/>
      </w:tcPr>
    </w:tblStylePr>
    <w:tblStylePr w:type="band2Horz">
      <w:rPr>
        <w:rFonts w:ascii="Arial" w:hAnsi="Arial"/>
        <w:color w:val="969696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B2B2" w:themeColor="accent4" w:themeTint="9A" w:sz="4" w:space="0"/>
        <w:right w:val="single" w:color="B2B2B2" w:themeColor="accent4" w:themeTint="9A" w:sz="4" w:space="0"/>
        <w:insideH w:val="single" w:color="B2B2B2" w:themeColor="accent4" w:themeTint="9A" w:sz="4" w:space="0"/>
        <w:insideV w:val="single" w:color="B2B2B2" w:themeColor="accent4" w:themeTint="9A" w:sz="4" w:space="0"/>
      </w:tblBorders>
    </w:tblPr>
    <w:tblStylePr w:type="firstRow">
      <w:rPr>
        <w:rFonts w:ascii="Arial" w:hAnsi="Arial"/>
        <w:b/>
        <w:color w:val="b2b2b2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B2B2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b2b2" w:themeColor="accent4" w:themeTint="9A" w:themeShade="95"/>
        <w:sz w:val="22"/>
      </w:rPr>
      <w:tcPr>
        <w:tcBorders>
          <w:top w:val="single" w:color="B2B2B2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b2b2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B2B2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b2b2" w:themeColor="accent4" w:themeTint="9A" w:themeShade="95"/>
        <w:sz w:val="22"/>
      </w:rPr>
      <w:tcPr>
        <w:tcBorders>
          <w:top w:val="none" w:color="000000" w:sz="0" w:space="0"/>
          <w:left w:val="single" w:color="B2B2B2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cPr>
        <w:shd w:val="clear" w:color="e5e5e5" w:themeColor="accent4" w:themeTint="34" w:fill="e5e5e5" w:themeFill="accent4" w:themeFillTint="34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4A4A4" w:themeColor="accent5" w:themeTint="90" w:sz="4" w:space="0"/>
        <w:right w:val="single" w:color="A4A4A4" w:themeColor="accent5" w:themeTint="90" w:sz="4" w:space="0"/>
        <w:insideH w:val="single" w:color="A4A4A4" w:themeColor="accent5" w:themeTint="90" w:sz="4" w:space="0"/>
        <w:insideV w:val="single" w:color="A4A4A4" w:themeColor="accent5" w:themeTint="90" w:sz="4" w:space="0"/>
      </w:tblBorders>
    </w:tblPr>
    <w:tblStylePr w:type="firstRow">
      <w:rPr>
        <w:rFonts w:ascii="Arial" w:hAnsi="Arial"/>
        <w:b/>
        <w:color w:val="373737" w:themeColor="accent5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4A4A4" w:themeColor="accent5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73737" w:themeColor="accent5" w:themeShade="95"/>
        <w:sz w:val="22"/>
      </w:rPr>
      <w:tcPr>
        <w:tcBorders>
          <w:top w:val="single" w:color="A4A4A4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373737" w:themeColor="accent5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4A4A4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373737" w:themeColor="accent5" w:themeShade="95"/>
        <w:sz w:val="22"/>
      </w:rPr>
      <w:tcPr>
        <w:tcBorders>
          <w:top w:val="none" w:color="000000" w:sz="0" w:space="0"/>
          <w:left w:val="single" w:color="A4A4A4" w:themeColor="accent5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373737" w:themeColor="accent5" w:themeShade="95"/>
        <w:sz w:val="22"/>
      </w:rPr>
      <w:tcPr>
        <w:shd w:val="clear" w:color="dedede" w:themeColor="accent5" w:themeTint="34" w:fill="dedede" w:themeFill="accent5" w:themeFillTint="34"/>
      </w:tcPr>
    </w:tblStylePr>
    <w:tblStylePr w:type="band2Horz">
      <w:rPr>
        <w:rFonts w:ascii="Arial" w:hAnsi="Arial"/>
        <w:color w:val="373737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9A9A" w:themeColor="accent6" w:themeTint="90" w:sz="4" w:space="0"/>
        <w:right w:val="single" w:color="9A9A9A" w:themeColor="accent6" w:themeTint="90" w:sz="4" w:space="0"/>
        <w:insideH w:val="single" w:color="9A9A9A" w:themeColor="accent6" w:themeTint="90" w:sz="4" w:space="0"/>
        <w:insideV w:val="single" w:color="9A9A9A" w:themeColor="accent6" w:themeTint="90" w:sz="4" w:space="0"/>
      </w:tblBorders>
    </w:tblPr>
    <w:tblStylePr w:type="firstRow">
      <w:rPr>
        <w:rFonts w:ascii="Arial" w:hAnsi="Arial"/>
        <w:b/>
        <w:color w:val="2c2c2c" w:themeColor="accent6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A9A9A" w:themeColor="accent6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c2c2c" w:themeColor="accent6" w:themeShade="95"/>
        <w:sz w:val="22"/>
      </w:rPr>
      <w:tcPr>
        <w:tcBorders>
          <w:top w:val="single" w:color="9A9A9A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c2c2c" w:themeColor="accent6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9A9A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c2c2c" w:themeColor="accent6" w:themeShade="95"/>
        <w:sz w:val="22"/>
      </w:rPr>
      <w:tcPr>
        <w:tcBorders>
          <w:top w:val="none" w:color="000000" w:sz="0" w:space="0"/>
          <w:left w:val="single" w:color="9A9A9A" w:themeColor="accent6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2c2c2c" w:themeColor="accent6" w:themeShade="95"/>
        <w:sz w:val="22"/>
      </w:rPr>
      <w:tcPr>
        <w:shd w:val="clear" w:color="dadada" w:themeColor="accent6" w:themeTint="34" w:fill="dadada" w:themeFill="accent6" w:themeFillTint="34"/>
      </w:tcPr>
    </w:tblStylePr>
    <w:tblStylePr w:type="band2Horz">
      <w:rPr>
        <w:rFonts w:ascii="Arial" w:hAnsi="Arial"/>
        <w:color w:val="2c2c2c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DDDD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DDDD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6f6f6" w:themeColor="accent1" w:themeTint="40" w:fill="f6f6f6" w:themeFill="accent1" w:themeFillTint="40"/>
      </w:tcPr>
    </w:tblStylePr>
    <w:tblStylePr w:type="band1Horz">
      <w:tcPr>
        <w:shd w:val="clear" w:color="f6f6f6" w:themeColor="accent1" w:themeTint="40" w:fill="f6f6f6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B2B2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B2B2B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bebeb" w:themeColor="accent2" w:themeTint="40" w:fill="ebebeb" w:themeFill="accent2" w:themeFillTint="40"/>
      </w:tcPr>
    </w:tblStylePr>
    <w:tblStylePr w:type="band1Horz">
      <w:tcPr>
        <w:shd w:val="clear" w:color="ebebeb" w:themeColor="accent2" w:themeTint="40" w:fill="ebebeb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69696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969696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4e4e4" w:themeColor="accent3" w:themeTint="40" w:fill="e4e4e4" w:themeFill="accent3" w:themeFillTint="40"/>
      </w:tcPr>
    </w:tblStylePr>
    <w:tblStylePr w:type="band1Horz">
      <w:tcPr>
        <w:shd w:val="clear" w:color="e4e4e4" w:themeColor="accent3" w:themeTint="40" w:fill="e4e4e4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808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80808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fdf" w:themeColor="accent4" w:themeTint="40" w:fill="dfdfdf" w:themeFill="accent4" w:themeFillTint="40"/>
      </w:tcPr>
    </w:tblStylePr>
    <w:tblStylePr w:type="band1Horz">
      <w:tcPr>
        <w:shd w:val="clear" w:color="dfdfdf" w:themeColor="accent4" w:themeTint="40" w:fill="dfdfdf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F5F5F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5F5F5F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6d6d6" w:themeColor="accent5" w:themeTint="40" w:fill="d6d6d6" w:themeFill="accent5" w:themeFillTint="40"/>
      </w:tcPr>
    </w:tblStylePr>
    <w:tblStylePr w:type="band1Horz">
      <w:tcPr>
        <w:shd w:val="clear" w:color="d6d6d6" w:themeColor="accent5" w:themeTint="40" w:fill="d6d6d6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D4D4D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D4D4D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2d2" w:themeColor="accent6" w:themeTint="40" w:fill="d2d2d2" w:themeFill="accent6" w:themeFillTint="40"/>
      </w:tcPr>
    </w:tblStylePr>
    <w:tblStylePr w:type="band1Horz">
      <w:tcPr>
        <w:shd w:val="clear" w:color="d2d2d2" w:themeColor="accent6" w:themeTint="40" w:fill="d2d2d2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BEBEB" w:themeColor="accent1" w:themeTint="90" w:sz="4" w:space="0"/>
        <w:bottom w:val="single" w:color="EBEBEB" w:themeColor="accent1" w:themeTint="90" w:sz="4" w:space="0"/>
        <w:insideH w:val="single" w:color="EBEBEB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EBEBEB" w:themeColor="accent1" w:themeTint="90" w:sz="4" w:space="0"/>
          <w:left w:val="none" w:color="000000" w:sz="4" w:space="0"/>
          <w:bottom w:val="single" w:color="EBEBEB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EBEBEB" w:themeColor="accent1" w:themeTint="90" w:sz="4" w:space="0"/>
          <w:left w:val="none" w:color="000000" w:sz="4" w:space="0"/>
          <w:bottom w:val="single" w:color="EBEBEB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6f6f6" w:themeColor="accent1" w:themeTint="40" w:fill="f6f6f6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3D3D3" w:themeColor="accent2" w:themeTint="90" w:sz="4" w:space="0"/>
        <w:bottom w:val="single" w:color="D3D3D3" w:themeColor="accent2" w:themeTint="90" w:sz="4" w:space="0"/>
        <w:insideH w:val="single" w:color="D3D3D3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3D3D3" w:themeColor="accent2" w:themeTint="90" w:sz="4" w:space="0"/>
          <w:left w:val="none" w:color="000000" w:sz="4" w:space="0"/>
          <w:bottom w:val="single" w:color="D3D3D3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3D3D3" w:themeColor="accent2" w:themeTint="90" w:sz="4" w:space="0"/>
          <w:left w:val="none" w:color="000000" w:sz="4" w:space="0"/>
          <w:bottom w:val="single" w:color="D3D3D3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bebeb" w:themeColor="accent2" w:themeTint="40" w:fill="ebebeb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C3C3" w:themeColor="accent3" w:themeTint="90" w:sz="4" w:space="0"/>
        <w:bottom w:val="single" w:color="C3C3C3" w:themeColor="accent3" w:themeTint="90" w:sz="4" w:space="0"/>
        <w:insideH w:val="single" w:color="C3C3C3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3C3C3" w:themeColor="accent3" w:themeTint="90" w:sz="4" w:space="0"/>
          <w:left w:val="none" w:color="000000" w:sz="4" w:space="0"/>
          <w:bottom w:val="single" w:color="C3C3C3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3C3C3" w:themeColor="accent3" w:themeTint="90" w:sz="4" w:space="0"/>
          <w:left w:val="none" w:color="000000" w:sz="4" w:space="0"/>
          <w:bottom w:val="single" w:color="C3C3C3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4e4e4" w:themeColor="accent3" w:themeTint="40" w:fill="e4e4e4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B7B7" w:themeColor="accent4" w:themeTint="90" w:sz="4" w:space="0"/>
        <w:bottom w:val="single" w:color="B7B7B7" w:themeColor="accent4" w:themeTint="90" w:sz="4" w:space="0"/>
        <w:insideH w:val="single" w:color="B7B7B7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B7B7" w:themeColor="accent4" w:themeTint="90" w:sz="4" w:space="0"/>
          <w:left w:val="none" w:color="000000" w:sz="4" w:space="0"/>
          <w:bottom w:val="single" w:color="B7B7B7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B7B7" w:themeColor="accent4" w:themeTint="90" w:sz="4" w:space="0"/>
          <w:left w:val="none" w:color="000000" w:sz="4" w:space="0"/>
          <w:bottom w:val="single" w:color="B7B7B7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fdf" w:themeColor="accent4" w:themeTint="40" w:fill="dfdfdf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4A4A4" w:themeColor="accent5" w:themeTint="90" w:sz="4" w:space="0"/>
        <w:bottom w:val="single" w:color="A4A4A4" w:themeColor="accent5" w:themeTint="90" w:sz="4" w:space="0"/>
        <w:insideH w:val="single" w:color="A4A4A4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4A4A4" w:themeColor="accent5" w:themeTint="90" w:sz="4" w:space="0"/>
          <w:left w:val="none" w:color="000000" w:sz="4" w:space="0"/>
          <w:bottom w:val="single" w:color="A4A4A4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4A4A4" w:themeColor="accent5" w:themeTint="90" w:sz="4" w:space="0"/>
          <w:left w:val="none" w:color="000000" w:sz="4" w:space="0"/>
          <w:bottom w:val="single" w:color="A4A4A4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6d6d6" w:themeColor="accent5" w:themeTint="40" w:fill="d6d6d6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9A9A" w:themeColor="accent6" w:themeTint="90" w:sz="4" w:space="0"/>
        <w:bottom w:val="single" w:color="9A9A9A" w:themeColor="accent6" w:themeTint="90" w:sz="4" w:space="0"/>
        <w:insideH w:val="single" w:color="9A9A9A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A9A9A" w:themeColor="accent6" w:themeTint="90" w:sz="4" w:space="0"/>
          <w:left w:val="none" w:color="000000" w:sz="4" w:space="0"/>
          <w:bottom w:val="single" w:color="9A9A9A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A9A9A" w:themeColor="accent6" w:themeTint="90" w:sz="4" w:space="0"/>
          <w:left w:val="none" w:color="000000" w:sz="4" w:space="0"/>
          <w:bottom w:val="single" w:color="9A9A9A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2d2" w:themeColor="accent6" w:themeTint="40" w:fill="d2d2d2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DDDDD" w:themeColor="accent1" w:sz="4" w:space="0"/>
        <w:left w:val="single" w:color="DDDDDD" w:themeColor="accent1" w:sz="4" w:space="0"/>
        <w:bottom w:val="single" w:color="DDDDDD" w:themeColor="accent1" w:sz="4" w:space="0"/>
        <w:right w:val="single" w:color="DDDDD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ddddd" w:themeColor="accent1" w:fill="ddddd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DDDDD" w:themeColor="accent1" w:sz="4" w:space="0"/>
          <w:right w:val="single" w:color="DDDDD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DDDDD" w:themeColor="accent1" w:sz="4" w:space="0"/>
          <w:bottom w:val="single" w:color="DDDDDD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1D1D1" w:themeColor="accent2" w:themeTint="97" w:sz="4" w:space="0"/>
        <w:left w:val="single" w:color="D1D1D1" w:themeColor="accent2" w:themeTint="97" w:sz="4" w:space="0"/>
        <w:bottom w:val="single" w:color="D1D1D1" w:themeColor="accent2" w:themeTint="97" w:sz="4" w:space="0"/>
        <w:right w:val="single" w:color="D1D1D1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1d1d1" w:themeColor="accent2" w:themeTint="97" w:fill="d1d1d1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1D1D1" w:themeColor="accent2" w:themeTint="97" w:sz="4" w:space="0"/>
          <w:right w:val="single" w:color="D1D1D1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1D1D1" w:themeColor="accent2" w:themeTint="97" w:sz="4" w:space="0"/>
          <w:bottom w:val="single" w:color="D1D1D1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0C0C0" w:themeColor="accent3" w:themeTint="98" w:sz="4" w:space="0"/>
        <w:left w:val="single" w:color="C0C0C0" w:themeColor="accent3" w:themeTint="98" w:sz="4" w:space="0"/>
        <w:bottom w:val="single" w:color="C0C0C0" w:themeColor="accent3" w:themeTint="98" w:sz="4" w:space="0"/>
        <w:right w:val="single" w:color="C0C0C0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c0c0" w:themeColor="accent3" w:themeTint="98" w:fill="c0c0c0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0C0C0" w:themeColor="accent3" w:themeTint="98" w:sz="4" w:space="0"/>
          <w:right w:val="single" w:color="C0C0C0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0C0C0" w:themeColor="accent3" w:themeTint="98" w:sz="4" w:space="0"/>
          <w:bottom w:val="single" w:color="C0C0C0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B2B2" w:themeColor="accent4" w:themeTint="9A" w:sz="4" w:space="0"/>
        <w:left w:val="single" w:color="B2B2B2" w:themeColor="accent4" w:themeTint="9A" w:sz="4" w:space="0"/>
        <w:bottom w:val="single" w:color="B2B2B2" w:themeColor="accent4" w:themeTint="9A" w:sz="4" w:space="0"/>
        <w:right w:val="single" w:color="B2B2B2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b2b2" w:themeColor="accent4" w:themeTint="9A" w:fill="b2b2b2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B2B2" w:themeColor="accent4" w:themeTint="9A" w:sz="4" w:space="0"/>
          <w:right w:val="single" w:color="B2B2B2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B2B2" w:themeColor="accent4" w:themeTint="9A" w:sz="4" w:space="0"/>
          <w:bottom w:val="single" w:color="B2B2B2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E9E9E" w:themeColor="accent5" w:themeTint="9A" w:sz="4" w:space="0"/>
        <w:left w:val="single" w:color="9E9E9E" w:themeColor="accent5" w:themeTint="9A" w:sz="4" w:space="0"/>
        <w:bottom w:val="single" w:color="9E9E9E" w:themeColor="accent5" w:themeTint="9A" w:sz="4" w:space="0"/>
        <w:right w:val="single" w:color="9E9E9E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e9e9e" w:themeColor="accent5" w:themeTint="9A" w:fill="9e9e9e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E9E9E" w:themeColor="accent5" w:themeTint="9A" w:sz="4" w:space="0"/>
          <w:right w:val="single" w:color="9E9E9E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E9E9E" w:themeColor="accent5" w:themeTint="9A" w:sz="4" w:space="0"/>
          <w:bottom w:val="single" w:color="9E9E9E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9494" w:themeColor="accent6" w:themeTint="98" w:sz="4" w:space="0"/>
        <w:left w:val="single" w:color="949494" w:themeColor="accent6" w:themeTint="98" w:sz="4" w:space="0"/>
        <w:bottom w:val="single" w:color="949494" w:themeColor="accent6" w:themeTint="98" w:sz="4" w:space="0"/>
        <w:right w:val="single" w:color="949494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49494" w:themeColor="accent6" w:themeTint="98" w:fill="949494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49494" w:themeColor="accent6" w:themeTint="98" w:sz="4" w:space="0"/>
          <w:right w:val="single" w:color="949494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49494" w:themeColor="accent6" w:themeTint="98" w:sz="4" w:space="0"/>
          <w:bottom w:val="single" w:color="949494" w:themeColor="accent6" w:themeTint="98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BEBEB" w:themeColor="accent1" w:themeTint="90" w:sz="4" w:space="0"/>
        <w:left w:val="single" w:color="EBEBEB" w:themeColor="accent1" w:themeTint="90" w:sz="4" w:space="0"/>
        <w:bottom w:val="single" w:color="EBEBEB" w:themeColor="accent1" w:themeTint="90" w:sz="4" w:space="0"/>
        <w:right w:val="single" w:color="EBEBEB" w:themeColor="accent1" w:themeTint="90" w:sz="4" w:space="0"/>
        <w:insideH w:val="single" w:color="EBEBEB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ddddd" w:themeColor="accent1" w:fill="ddddd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6f6f6" w:themeColor="accent1" w:themeTint="40" w:fill="f6f6f6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3D3D3" w:themeColor="accent2" w:themeTint="90" w:sz="4" w:space="0"/>
        <w:left w:val="single" w:color="D3D3D3" w:themeColor="accent2" w:themeTint="90" w:sz="4" w:space="0"/>
        <w:bottom w:val="single" w:color="D3D3D3" w:themeColor="accent2" w:themeTint="90" w:sz="4" w:space="0"/>
        <w:right w:val="single" w:color="D3D3D3" w:themeColor="accent2" w:themeTint="90" w:sz="4" w:space="0"/>
        <w:insideH w:val="single" w:color="D3D3D3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b2b2" w:themeColor="accent2" w:fill="b2b2b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bebeb" w:themeColor="accent2" w:themeTint="40" w:fill="ebebeb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C3C3" w:themeColor="accent3" w:themeTint="90" w:sz="4" w:space="0"/>
        <w:left w:val="single" w:color="C3C3C3" w:themeColor="accent3" w:themeTint="90" w:sz="4" w:space="0"/>
        <w:bottom w:val="single" w:color="C3C3C3" w:themeColor="accent3" w:themeTint="90" w:sz="4" w:space="0"/>
        <w:right w:val="single" w:color="C3C3C3" w:themeColor="accent3" w:themeTint="90" w:sz="4" w:space="0"/>
        <w:insideH w:val="single" w:color="C3C3C3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69696" w:themeColor="accent3" w:fill="96969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4e4e4" w:themeColor="accent3" w:themeTint="40" w:fill="e4e4e4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B7B7" w:themeColor="accent4" w:themeTint="90" w:sz="4" w:space="0"/>
        <w:left w:val="single" w:color="B7B7B7" w:themeColor="accent4" w:themeTint="90" w:sz="4" w:space="0"/>
        <w:bottom w:val="single" w:color="B7B7B7" w:themeColor="accent4" w:themeTint="90" w:sz="4" w:space="0"/>
        <w:right w:val="single" w:color="B7B7B7" w:themeColor="accent4" w:themeTint="90" w:sz="4" w:space="0"/>
        <w:insideH w:val="single" w:color="B7B7B7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8080" w:themeColor="accent4" w:fill="80808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fdf" w:themeColor="accent4" w:themeTint="40" w:fill="dfdfdf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4A4A4" w:themeColor="accent5" w:themeTint="90" w:sz="4" w:space="0"/>
        <w:left w:val="single" w:color="A4A4A4" w:themeColor="accent5" w:themeTint="90" w:sz="4" w:space="0"/>
        <w:bottom w:val="single" w:color="A4A4A4" w:themeColor="accent5" w:themeTint="90" w:sz="4" w:space="0"/>
        <w:right w:val="single" w:color="A4A4A4" w:themeColor="accent5" w:themeTint="90" w:sz="4" w:space="0"/>
        <w:insideH w:val="single" w:color="A4A4A4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f5f5f" w:themeColor="accent5" w:fill="5f5f5f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6d6d6" w:themeColor="accent5" w:themeTint="40" w:fill="d6d6d6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9A9A" w:themeColor="accent6" w:themeTint="90" w:sz="4" w:space="0"/>
        <w:left w:val="single" w:color="9A9A9A" w:themeColor="accent6" w:themeTint="90" w:sz="4" w:space="0"/>
        <w:bottom w:val="single" w:color="9A9A9A" w:themeColor="accent6" w:themeTint="90" w:sz="4" w:space="0"/>
        <w:right w:val="single" w:color="9A9A9A" w:themeColor="accent6" w:themeTint="90" w:sz="4" w:space="0"/>
        <w:insideH w:val="single" w:color="9A9A9A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d4d4d" w:themeColor="accent6" w:fill="4d4d4d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2d2" w:themeColor="accent6" w:themeTint="40" w:fill="d2d2d2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DDDDD" w:themeColor="accent1" w:sz="32" w:space="0"/>
        <w:left w:val="single" w:color="DDDDDD" w:themeColor="accent1" w:sz="32" w:space="0"/>
        <w:bottom w:val="single" w:color="DDDDDD" w:themeColor="accent1" w:sz="32" w:space="0"/>
        <w:right w:val="single" w:color="DDDDDD" w:themeColor="accent1" w:sz="32" w:space="0"/>
      </w:tblBorders>
      <w:shd w:val="clear" w:color="dddddd" w:themeColor="accent1" w:fill="dddddd" w:themeFill="accent1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DDDDD" w:themeColor="accent1" w:sz="32" w:space="0"/>
          <w:bottom w:val="single" w:color="FFFFFF" w:themeColor="light1" w:sz="12" w:space="0"/>
        </w:tcBorders>
        <w:shd w:val="clear" w:color="dddddd" w:themeColor="accent1" w:fill="ddddd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DDDD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DDDD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ddddd" w:themeColor="accent1" w:fill="ddddd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ddddd" w:themeColor="accent1" w:fill="ddddd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ddddd" w:themeColor="accent1" w:fill="dddddd" w:themeFill="accent1"/>
      </w:tc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1D1D1" w:themeColor="accent2" w:themeTint="97" w:sz="32" w:space="0"/>
        <w:left w:val="single" w:color="D1D1D1" w:themeColor="accent2" w:themeTint="97" w:sz="32" w:space="0"/>
        <w:bottom w:val="single" w:color="D1D1D1" w:themeColor="accent2" w:themeTint="97" w:sz="32" w:space="0"/>
        <w:right w:val="single" w:color="D1D1D1" w:themeColor="accent2" w:themeTint="97" w:sz="32" w:space="0"/>
      </w:tblBorders>
      <w:shd w:val="clear" w:color="d1d1d1" w:themeColor="accent2" w:themeTint="97" w:fill="d1d1d1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1D1D1" w:themeColor="accent2" w:themeTint="97" w:sz="32" w:space="0"/>
          <w:bottom w:val="single" w:color="FFFFFF" w:themeColor="light1" w:sz="12" w:space="0"/>
        </w:tcBorders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1D1D1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1D1D1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1d1d1" w:themeColor="accent2" w:themeTint="97" w:fill="d1d1d1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1d1d1" w:themeColor="accent2" w:themeTint="97" w:fill="d1d1d1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1d1d1" w:themeColor="accent2" w:themeTint="97" w:fill="d1d1d1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0C0C0" w:themeColor="accent3" w:themeTint="98" w:sz="32" w:space="0"/>
        <w:left w:val="single" w:color="C0C0C0" w:themeColor="accent3" w:themeTint="98" w:sz="32" w:space="0"/>
        <w:bottom w:val="single" w:color="C0C0C0" w:themeColor="accent3" w:themeTint="98" w:sz="32" w:space="0"/>
        <w:right w:val="single" w:color="C0C0C0" w:themeColor="accent3" w:themeTint="98" w:sz="32" w:space="0"/>
      </w:tblBorders>
      <w:shd w:val="clear" w:color="c0c0c0" w:themeColor="accent3" w:themeTint="98" w:fill="c0c0c0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0C0C0" w:themeColor="accent3" w:themeTint="98" w:sz="32" w:space="0"/>
          <w:bottom w:val="single" w:color="FFFFFF" w:themeColor="light1" w:sz="12" w:space="0"/>
        </w:tcBorders>
        <w:shd w:val="clear" w:color="c0c0c0" w:themeColor="accent3" w:themeTint="98" w:fill="c0c0c0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0C0C0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C0C0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0c0c0" w:themeColor="accent3" w:themeTint="98" w:fill="c0c0c0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0c0c0" w:themeColor="accent3" w:themeTint="98" w:fill="c0c0c0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0c0c0" w:themeColor="accent3" w:themeTint="98" w:fill="c0c0c0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B2B2" w:themeColor="accent4" w:themeTint="9A" w:sz="32" w:space="0"/>
        <w:left w:val="single" w:color="B2B2B2" w:themeColor="accent4" w:themeTint="9A" w:sz="32" w:space="0"/>
        <w:bottom w:val="single" w:color="B2B2B2" w:themeColor="accent4" w:themeTint="9A" w:sz="32" w:space="0"/>
        <w:right w:val="single" w:color="B2B2B2" w:themeColor="accent4" w:themeTint="9A" w:sz="32" w:space="0"/>
      </w:tblBorders>
      <w:shd w:val="clear" w:color="b2b2b2" w:themeColor="accent4" w:themeTint="9A" w:fill="b2b2b2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B2B2" w:themeColor="accent4" w:themeTint="9A" w:sz="32" w:space="0"/>
          <w:bottom w:val="single" w:color="FFFFFF" w:themeColor="light1" w:sz="12" w:space="0"/>
        </w:tcBorders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B2B2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B2B2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b2b2" w:themeColor="accent4" w:themeTint="9A" w:fill="b2b2b2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b2b2" w:themeColor="accent4" w:themeTint="9A" w:fill="b2b2b2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b2b2" w:themeColor="accent4" w:themeTint="9A" w:fill="b2b2b2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E9E9E" w:themeColor="accent5" w:themeTint="9A" w:sz="32" w:space="0"/>
        <w:left w:val="single" w:color="9E9E9E" w:themeColor="accent5" w:themeTint="9A" w:sz="32" w:space="0"/>
        <w:bottom w:val="single" w:color="9E9E9E" w:themeColor="accent5" w:themeTint="9A" w:sz="32" w:space="0"/>
        <w:right w:val="single" w:color="9E9E9E" w:themeColor="accent5" w:themeTint="9A" w:sz="32" w:space="0"/>
      </w:tblBorders>
      <w:shd w:val="clear" w:color="9e9e9e" w:themeColor="accent5" w:themeTint="9A" w:fill="9e9e9e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E9E9E" w:themeColor="accent5" w:themeTint="9A" w:sz="32" w:space="0"/>
          <w:bottom w:val="single" w:color="FFFFFF" w:themeColor="light1" w:sz="12" w:space="0"/>
        </w:tcBorders>
        <w:shd w:val="clear" w:color="9e9e9e" w:themeColor="accent5" w:themeTint="9A" w:fill="9e9e9e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E9E9E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E9E9E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e9e9e" w:themeColor="accent5" w:themeTint="9A" w:fill="9e9e9e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e9e9e" w:themeColor="accent5" w:themeTint="9A" w:fill="9e9e9e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e9e9e" w:themeColor="accent5" w:themeTint="9A" w:fill="9e9e9e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9494" w:themeColor="accent6" w:themeTint="98" w:sz="32" w:space="0"/>
        <w:left w:val="single" w:color="949494" w:themeColor="accent6" w:themeTint="98" w:sz="32" w:space="0"/>
        <w:bottom w:val="single" w:color="949494" w:themeColor="accent6" w:themeTint="98" w:sz="32" w:space="0"/>
        <w:right w:val="single" w:color="949494" w:themeColor="accent6" w:themeTint="98" w:sz="32" w:space="0"/>
      </w:tblBorders>
      <w:shd w:val="clear" w:color="949494" w:themeColor="accent6" w:themeTint="98" w:fill="949494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49494" w:themeColor="accent6" w:themeTint="98" w:sz="32" w:space="0"/>
          <w:bottom w:val="single" w:color="FFFFFF" w:themeColor="light1" w:sz="12" w:space="0"/>
        </w:tcBorders>
        <w:shd w:val="clear" w:color="949494" w:themeColor="accent6" w:themeTint="98" w:fill="949494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49494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49494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49494" w:themeColor="accent6" w:themeTint="98" w:fill="949494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49494" w:themeColor="accent6" w:themeTint="98" w:fill="949494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49494" w:themeColor="accent6" w:themeTint="98" w:fill="949494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DDDDD" w:themeColor="accent1" w:sz="4" w:space="0"/>
        <w:bottom w:val="single" w:color="DDDDDD" w:themeColor="accent1" w:sz="4" w:space="0"/>
      </w:tblBorders>
    </w:tblPr>
    <w:tblStylePr w:type="firstRow">
      <w:rPr>
        <w:b/>
        <w:color w:val="818181" w:themeColor="accent1" w:themeShade="95"/>
      </w:rPr>
      <w:tcPr>
        <w:tcBorders>
          <w:bottom w:val="single" w:color="DDDDDD" w:themeColor="accent1" w:sz="4" w:space="0"/>
        </w:tcBorders>
      </w:tcPr>
    </w:tblStylePr>
    <w:tblStylePr w:type="lastRow">
      <w:rPr>
        <w:b/>
        <w:color w:val="818181" w:themeColor="accent1" w:themeShade="95"/>
      </w:rPr>
      <w:tcPr>
        <w:tcBorders>
          <w:top w:val="single" w:color="DDDDDD" w:themeColor="accent1" w:sz="4" w:space="0"/>
        </w:tcBorders>
      </w:tcPr>
    </w:tblStylePr>
    <w:tblStylePr w:type="firstCol">
      <w:rPr>
        <w:b/>
        <w:color w:val="818181" w:themeColor="accent1" w:themeShade="95"/>
      </w:rPr>
    </w:tblStylePr>
    <w:tblStylePr w:type="lastCol">
      <w:rPr>
        <w:b/>
        <w:color w:val="818181" w:themeColor="accent1" w:themeShade="95"/>
      </w:rPr>
    </w:tblStylePr>
    <w:tblStylePr w:type="band1Vert"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818181" w:themeColor="accent1" w:themeShade="95"/>
        <w:sz w:val="22"/>
      </w:rPr>
      <w:tcPr>
        <w:shd w:val="clear" w:color="f6f6f6" w:themeColor="accent1" w:themeTint="40" w:fill="f6f6f6" w:themeFill="accent1" w:themeFillTint="40"/>
      </w:tcPr>
    </w:tblStylePr>
    <w:tblStylePr w:type="band2Horz">
      <w:rPr>
        <w:rFonts w:ascii="Arial" w:hAnsi="Arial"/>
        <w:color w:val="818181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1D1D1" w:themeColor="accent2" w:themeTint="97" w:sz="4" w:space="0"/>
        <w:bottom w:val="single" w:color="D1D1D1" w:themeColor="accent2" w:themeTint="97" w:sz="4" w:space="0"/>
      </w:tblBorders>
    </w:tblPr>
    <w:tblStylePr w:type="firstRow">
      <w:rPr>
        <w:b/>
        <w:color w:val="d1d1d1" w:themeColor="accent2" w:themeTint="97" w:themeShade="95"/>
      </w:rPr>
      <w:tcPr>
        <w:tcBorders>
          <w:bottom w:val="single" w:color="D1D1D1" w:themeColor="accent2" w:themeTint="97" w:sz="4" w:space="0"/>
        </w:tcBorders>
      </w:tcPr>
    </w:tblStylePr>
    <w:tblStylePr w:type="lastRow">
      <w:rPr>
        <w:b/>
        <w:color w:val="d1d1d1" w:themeColor="accent2" w:themeTint="97" w:themeShade="95"/>
      </w:rPr>
      <w:tcPr>
        <w:tcBorders>
          <w:top w:val="single" w:color="D1D1D1" w:themeColor="accent2" w:themeTint="97" w:sz="4" w:space="0"/>
        </w:tcBorders>
      </w:tcPr>
    </w:tblStylePr>
    <w:tblStylePr w:type="firstCol">
      <w:rPr>
        <w:b/>
        <w:color w:val="d1d1d1" w:themeColor="accent2" w:themeTint="97" w:themeShade="95"/>
      </w:rPr>
    </w:tblStylePr>
    <w:tblStylePr w:type="lastCol">
      <w:rPr>
        <w:b/>
        <w:color w:val="d1d1d1" w:themeColor="accent2" w:themeTint="97" w:themeShade="95"/>
      </w:rPr>
    </w:tblStylePr>
    <w:tblStylePr w:type="band1Vert"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cPr>
        <w:shd w:val="clear" w:color="ebebeb" w:themeColor="accent2" w:themeTint="40" w:fill="ebebeb" w:themeFill="accent2" w:themeFillTint="40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0C0C0" w:themeColor="accent3" w:themeTint="98" w:sz="4" w:space="0"/>
        <w:bottom w:val="single" w:color="C0C0C0" w:themeColor="accent3" w:themeTint="98" w:sz="4" w:space="0"/>
      </w:tblBorders>
    </w:tblPr>
    <w:tblStylePr w:type="firstRow">
      <w:rPr>
        <w:b/>
        <w:color w:val="c0c0c0" w:themeColor="accent3" w:themeTint="98" w:themeShade="95"/>
      </w:rPr>
      <w:tcPr>
        <w:tcBorders>
          <w:bottom w:val="single" w:color="C0C0C0" w:themeColor="accent3" w:themeTint="98" w:sz="4" w:space="0"/>
        </w:tcBorders>
      </w:tcPr>
    </w:tblStylePr>
    <w:tblStylePr w:type="lastRow">
      <w:rPr>
        <w:b/>
        <w:color w:val="c0c0c0" w:themeColor="accent3" w:themeTint="98" w:themeShade="95"/>
      </w:rPr>
      <w:tcPr>
        <w:tcBorders>
          <w:top w:val="single" w:color="C0C0C0" w:themeColor="accent3" w:themeTint="98" w:sz="4" w:space="0"/>
        </w:tcBorders>
      </w:tcPr>
    </w:tblStylePr>
    <w:tblStylePr w:type="firstCol">
      <w:rPr>
        <w:b/>
        <w:color w:val="c0c0c0" w:themeColor="accent3" w:themeTint="98" w:themeShade="95"/>
      </w:rPr>
    </w:tblStylePr>
    <w:tblStylePr w:type="lastCol">
      <w:rPr>
        <w:b/>
        <w:color w:val="c0c0c0" w:themeColor="accent3" w:themeTint="98" w:themeShade="95"/>
      </w:rPr>
    </w:tblStylePr>
    <w:tblStylePr w:type="band1Vert"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c0c0c0" w:themeColor="accent3" w:themeTint="98" w:themeShade="95"/>
        <w:sz w:val="22"/>
      </w:rPr>
      <w:tcPr>
        <w:shd w:val="clear" w:color="e4e4e4" w:themeColor="accent3" w:themeTint="40" w:fill="e4e4e4" w:themeFill="accent3" w:themeFillTint="40"/>
      </w:tcPr>
    </w:tblStylePr>
    <w:tblStylePr w:type="band2Horz">
      <w:rPr>
        <w:rFonts w:ascii="Arial" w:hAnsi="Arial"/>
        <w:color w:val="c0c0c0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B2B2" w:themeColor="accent4" w:themeTint="9A" w:sz="4" w:space="0"/>
        <w:bottom w:val="single" w:color="B2B2B2" w:themeColor="accent4" w:themeTint="9A" w:sz="4" w:space="0"/>
      </w:tblBorders>
    </w:tblPr>
    <w:tblStylePr w:type="firstRow">
      <w:rPr>
        <w:b/>
        <w:color w:val="b2b2b2" w:themeColor="accent4" w:themeTint="9A" w:themeShade="95"/>
      </w:rPr>
      <w:tcPr>
        <w:tcBorders>
          <w:bottom w:val="single" w:color="B2B2B2" w:themeColor="accent4" w:themeTint="9A" w:sz="4" w:space="0"/>
        </w:tcBorders>
      </w:tcPr>
    </w:tblStylePr>
    <w:tblStylePr w:type="lastRow">
      <w:rPr>
        <w:b/>
        <w:color w:val="b2b2b2" w:themeColor="accent4" w:themeTint="9A" w:themeShade="95"/>
      </w:rPr>
      <w:tcPr>
        <w:tcBorders>
          <w:top w:val="single" w:color="B2B2B2" w:themeColor="accent4" w:themeTint="9A" w:sz="4" w:space="0"/>
        </w:tcBorders>
      </w:tcPr>
    </w:tblStylePr>
    <w:tblStylePr w:type="firstCol">
      <w:rPr>
        <w:b/>
        <w:color w:val="b2b2b2" w:themeColor="accent4" w:themeTint="9A" w:themeShade="95"/>
      </w:rPr>
    </w:tblStylePr>
    <w:tblStylePr w:type="lastCol">
      <w:rPr>
        <w:b/>
        <w:color w:val="b2b2b2" w:themeColor="accent4" w:themeTint="9A" w:themeShade="95"/>
      </w:rPr>
    </w:tblStylePr>
    <w:tblStylePr w:type="band1Vert"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cPr>
        <w:shd w:val="clear" w:color="dfdfdf" w:themeColor="accent4" w:themeTint="40" w:fill="dfdfdf" w:themeFill="accent4" w:themeFillTint="40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E9E9E" w:themeColor="accent5" w:themeTint="9A" w:sz="4" w:space="0"/>
        <w:bottom w:val="single" w:color="9E9E9E" w:themeColor="accent5" w:themeTint="9A" w:sz="4" w:space="0"/>
      </w:tblBorders>
    </w:tblPr>
    <w:tblStylePr w:type="firstRow">
      <w:rPr>
        <w:b/>
        <w:color w:val="9e9e9e" w:themeColor="accent5" w:themeTint="9A" w:themeShade="95"/>
      </w:rPr>
      <w:tcPr>
        <w:tcBorders>
          <w:bottom w:val="single" w:color="9E9E9E" w:themeColor="accent5" w:themeTint="9A" w:sz="4" w:space="0"/>
        </w:tcBorders>
      </w:tcPr>
    </w:tblStylePr>
    <w:tblStylePr w:type="lastRow">
      <w:rPr>
        <w:b/>
        <w:color w:val="9e9e9e" w:themeColor="accent5" w:themeTint="9A" w:themeShade="95"/>
      </w:rPr>
      <w:tcPr>
        <w:tcBorders>
          <w:top w:val="single" w:color="9E9E9E" w:themeColor="accent5" w:themeTint="9A" w:sz="4" w:space="0"/>
        </w:tcBorders>
      </w:tcPr>
    </w:tblStylePr>
    <w:tblStylePr w:type="firstCol">
      <w:rPr>
        <w:b/>
        <w:color w:val="9e9e9e" w:themeColor="accent5" w:themeTint="9A" w:themeShade="95"/>
      </w:rPr>
    </w:tblStylePr>
    <w:tblStylePr w:type="lastCol">
      <w:rPr>
        <w:b/>
        <w:color w:val="9e9e9e" w:themeColor="accent5" w:themeTint="9A" w:themeShade="95"/>
      </w:rPr>
    </w:tblStylePr>
    <w:tblStylePr w:type="band1Vert"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9e9e9e" w:themeColor="accent5" w:themeTint="9A" w:themeShade="95"/>
        <w:sz w:val="22"/>
      </w:rPr>
      <w:tcPr>
        <w:shd w:val="clear" w:color="d6d6d6" w:themeColor="accent5" w:themeTint="40" w:fill="d6d6d6" w:themeFill="accent5" w:themeFillTint="40"/>
      </w:tcPr>
    </w:tblStylePr>
    <w:tblStylePr w:type="band2Horz">
      <w:rPr>
        <w:rFonts w:ascii="Arial" w:hAnsi="Arial"/>
        <w:color w:val="9e9e9e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9494" w:themeColor="accent6" w:themeTint="98" w:sz="4" w:space="0"/>
        <w:bottom w:val="single" w:color="949494" w:themeColor="accent6" w:themeTint="98" w:sz="4" w:space="0"/>
      </w:tblBorders>
    </w:tblPr>
    <w:tblStylePr w:type="firstRow">
      <w:rPr>
        <w:b/>
        <w:color w:val="949494" w:themeColor="accent6" w:themeTint="98" w:themeShade="95"/>
      </w:rPr>
      <w:tcPr>
        <w:tcBorders>
          <w:bottom w:val="single" w:color="949494" w:themeColor="accent6" w:themeTint="98" w:sz="4" w:space="0"/>
        </w:tcBorders>
      </w:tcPr>
    </w:tblStylePr>
    <w:tblStylePr w:type="lastRow">
      <w:rPr>
        <w:b/>
        <w:color w:val="949494" w:themeColor="accent6" w:themeTint="98" w:themeShade="95"/>
      </w:rPr>
      <w:tcPr>
        <w:tcBorders>
          <w:top w:val="single" w:color="949494" w:themeColor="accent6" w:themeTint="98" w:sz="4" w:space="0"/>
        </w:tcBorders>
      </w:tcPr>
    </w:tblStylePr>
    <w:tblStylePr w:type="firstCol">
      <w:rPr>
        <w:b/>
        <w:color w:val="949494" w:themeColor="accent6" w:themeTint="98" w:themeShade="95"/>
      </w:rPr>
    </w:tblStylePr>
    <w:tblStylePr w:type="lastCol">
      <w:rPr>
        <w:b/>
        <w:color w:val="949494" w:themeColor="accent6" w:themeTint="98" w:themeShade="95"/>
      </w:rPr>
    </w:tblStylePr>
    <w:tblStylePr w:type="band1Vert"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949494" w:themeColor="accent6" w:themeTint="98" w:themeShade="95"/>
        <w:sz w:val="22"/>
      </w:rPr>
      <w:tcPr>
        <w:shd w:val="clear" w:color="d2d2d2" w:themeColor="accent6" w:themeTint="40" w:fill="d2d2d2" w:themeFill="accent6" w:themeFillTint="40"/>
      </w:tcPr>
    </w:tblStylePr>
    <w:tblStylePr w:type="band2Horz">
      <w:rPr>
        <w:rFonts w:ascii="Arial" w:hAnsi="Arial"/>
        <w:color w:val="949494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DDDDD" w:themeColor="accent1" w:sz="4" w:space="0"/>
      </w:tblBorders>
    </w:tblPr>
    <w:tblStylePr w:type="firstRow">
      <w:rPr>
        <w:rFonts w:ascii="Arial" w:hAnsi="Arial"/>
        <w:i/>
        <w:color w:val="818181" w:themeColor="accent1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DDDDD" w:themeColor="accent1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18181" w:themeColor="accent1" w:themeShade="95"/>
        <w:sz w:val="22"/>
      </w:rPr>
      <w:tcPr>
        <w:tcBorders>
          <w:top w:val="single" w:color="DDDDD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818181" w:themeColor="accent1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DDDD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18181" w:themeColor="accent1" w:themeShade="95"/>
        <w:sz w:val="22"/>
      </w:rPr>
      <w:tcPr>
        <w:tcBorders>
          <w:top w:val="none" w:color="000000" w:sz="0" w:space="0"/>
          <w:left w:val="single" w:color="DDDDD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f6f6f6" w:themeColor="accent1" w:themeTint="40" w:fill="f6f6f6" w:themeFill="accent1" w:themeFillTint="40"/>
      </w:tcPr>
    </w:tblStylePr>
    <w:tblStylePr w:type="band1Horz">
      <w:rPr>
        <w:rFonts w:ascii="Arial" w:hAnsi="Arial"/>
        <w:color w:val="818181" w:themeColor="accent1" w:themeShade="95"/>
        <w:sz w:val="22"/>
      </w:rPr>
      <w:tcPr>
        <w:shd w:val="clear" w:color="f6f6f6" w:themeColor="accent1" w:themeTint="40" w:fill="f6f6f6" w:themeFill="accent1" w:themeFillTint="40"/>
      </w:tcPr>
    </w:tblStylePr>
    <w:tblStylePr w:type="band2Horz">
      <w:rPr>
        <w:rFonts w:ascii="Arial" w:hAnsi="Arial"/>
        <w:color w:val="818181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1D1D1" w:themeColor="accent2" w:themeTint="97" w:sz="4" w:space="0"/>
      </w:tblBorders>
    </w:tblPr>
    <w:tblStylePr w:type="firstRow">
      <w:rPr>
        <w:rFonts w:ascii="Arial" w:hAnsi="Arial"/>
        <w:i/>
        <w:color w:val="d1d1d1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1D1D1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1d1d1" w:themeColor="accent2" w:themeTint="97" w:themeShade="95"/>
        <w:sz w:val="22"/>
      </w:rPr>
      <w:tcPr>
        <w:tcBorders>
          <w:top w:val="single" w:color="D1D1D1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1d1d1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1D1D1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1d1d1" w:themeColor="accent2" w:themeTint="97" w:themeShade="95"/>
        <w:sz w:val="22"/>
      </w:rPr>
      <w:tcPr>
        <w:tcBorders>
          <w:top w:val="none" w:color="000000" w:sz="0" w:space="0"/>
          <w:left w:val="single" w:color="D1D1D1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ebebeb" w:themeColor="accent2" w:themeTint="40" w:fill="ebebeb" w:themeFill="accent2" w:themeFillTint="40"/>
      </w:tcPr>
    </w:tblStylePr>
    <w:tblStylePr w:type="band1Horz">
      <w:rPr>
        <w:rFonts w:ascii="Arial" w:hAnsi="Arial"/>
        <w:color w:val="d1d1d1" w:themeColor="accent2" w:themeTint="97" w:themeShade="95"/>
        <w:sz w:val="22"/>
      </w:rPr>
      <w:tcPr>
        <w:shd w:val="clear" w:color="ebebeb" w:themeColor="accent2" w:themeTint="40" w:fill="ebebeb" w:themeFill="accent2" w:themeFillTint="40"/>
      </w:tcPr>
    </w:tblStylePr>
    <w:tblStylePr w:type="band2Horz">
      <w:rPr>
        <w:rFonts w:ascii="Arial" w:hAnsi="Arial"/>
        <w:color w:val="d1d1d1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0C0C0" w:themeColor="accent3" w:themeTint="98" w:sz="4" w:space="0"/>
      </w:tblBorders>
    </w:tblPr>
    <w:tblStylePr w:type="firstRow">
      <w:rPr>
        <w:rFonts w:ascii="Arial" w:hAnsi="Arial"/>
        <w:i/>
        <w:color w:val="c0c0c0" w:themeColor="accent3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C0C0C0" w:themeColor="accent3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0c0c0" w:themeColor="accent3" w:themeTint="98" w:themeShade="95"/>
        <w:sz w:val="22"/>
      </w:rPr>
      <w:tcPr>
        <w:tcBorders>
          <w:top w:val="single" w:color="C0C0C0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0c0c0" w:themeColor="accent3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C0C0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0c0c0" w:themeColor="accent3" w:themeTint="98" w:themeShade="95"/>
        <w:sz w:val="22"/>
      </w:rPr>
      <w:tcPr>
        <w:tcBorders>
          <w:top w:val="none" w:color="000000" w:sz="0" w:space="0"/>
          <w:left w:val="single" w:color="C0C0C0" w:themeColor="accent3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e4e4e4" w:themeColor="accent3" w:themeTint="40" w:fill="e4e4e4" w:themeFill="accent3" w:themeFillTint="40"/>
      </w:tcPr>
    </w:tblStylePr>
    <w:tblStylePr w:type="band1Horz">
      <w:rPr>
        <w:rFonts w:ascii="Arial" w:hAnsi="Arial"/>
        <w:color w:val="c0c0c0" w:themeColor="accent3" w:themeTint="98" w:themeShade="95"/>
        <w:sz w:val="22"/>
      </w:rPr>
      <w:tcPr>
        <w:shd w:val="clear" w:color="e4e4e4" w:themeColor="accent3" w:themeTint="40" w:fill="e4e4e4" w:themeFill="accent3" w:themeFillTint="40"/>
      </w:tcPr>
    </w:tblStylePr>
    <w:tblStylePr w:type="band2Horz">
      <w:rPr>
        <w:rFonts w:ascii="Arial" w:hAnsi="Arial"/>
        <w:color w:val="c0c0c0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B2B2" w:themeColor="accent4" w:themeTint="9A" w:sz="4" w:space="0"/>
      </w:tblBorders>
    </w:tblPr>
    <w:tblStylePr w:type="firstRow">
      <w:rPr>
        <w:rFonts w:ascii="Arial" w:hAnsi="Arial"/>
        <w:i/>
        <w:color w:val="b2b2b2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B2B2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b2b2" w:themeColor="accent4" w:themeTint="9A" w:themeShade="95"/>
        <w:sz w:val="22"/>
      </w:rPr>
      <w:tcPr>
        <w:tcBorders>
          <w:top w:val="single" w:color="B2B2B2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b2b2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B2B2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b2b2" w:themeColor="accent4" w:themeTint="9A" w:themeShade="95"/>
        <w:sz w:val="22"/>
      </w:rPr>
      <w:tcPr>
        <w:tcBorders>
          <w:top w:val="none" w:color="000000" w:sz="0" w:space="0"/>
          <w:left w:val="single" w:color="B2B2B2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dfdfdf" w:themeColor="accent4" w:themeTint="40" w:fill="dfdfdf" w:themeFill="accent4" w:themeFillTint="40"/>
      </w:tcPr>
    </w:tblStylePr>
    <w:tblStylePr w:type="band1Horz">
      <w:rPr>
        <w:rFonts w:ascii="Arial" w:hAnsi="Arial"/>
        <w:color w:val="b2b2b2" w:themeColor="accent4" w:themeTint="9A" w:themeShade="95"/>
        <w:sz w:val="22"/>
      </w:rPr>
      <w:tcPr>
        <w:shd w:val="clear" w:color="dfdfdf" w:themeColor="accent4" w:themeTint="40" w:fill="dfdfdf" w:themeFill="accent4" w:themeFillTint="40"/>
      </w:tcPr>
    </w:tblStylePr>
    <w:tblStylePr w:type="band2Horz">
      <w:rPr>
        <w:rFonts w:ascii="Arial" w:hAnsi="Arial"/>
        <w:color w:val="b2b2b2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E9E9E" w:themeColor="accent5" w:themeTint="9A" w:sz="4" w:space="0"/>
      </w:tblBorders>
    </w:tblPr>
    <w:tblStylePr w:type="firstRow">
      <w:rPr>
        <w:rFonts w:ascii="Arial" w:hAnsi="Arial"/>
        <w:i/>
        <w:color w:val="9e9e9e" w:themeColor="accent5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E9E9E" w:themeColor="accent5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e9e9e" w:themeColor="accent5" w:themeTint="9A" w:themeShade="95"/>
        <w:sz w:val="22"/>
      </w:rPr>
      <w:tcPr>
        <w:tcBorders>
          <w:top w:val="single" w:color="9E9E9E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e9e9e" w:themeColor="accent5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E9E9E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e9e9e" w:themeColor="accent5" w:themeTint="9A" w:themeShade="95"/>
        <w:sz w:val="22"/>
      </w:rPr>
      <w:tcPr>
        <w:tcBorders>
          <w:top w:val="none" w:color="000000" w:sz="0" w:space="0"/>
          <w:left w:val="single" w:color="9E9E9E" w:themeColor="accent5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d6d6d6" w:themeColor="accent5" w:themeTint="40" w:fill="d6d6d6" w:themeFill="accent5" w:themeFillTint="40"/>
      </w:tcPr>
    </w:tblStylePr>
    <w:tblStylePr w:type="band1Horz">
      <w:rPr>
        <w:rFonts w:ascii="Arial" w:hAnsi="Arial"/>
        <w:color w:val="9e9e9e" w:themeColor="accent5" w:themeTint="9A" w:themeShade="95"/>
        <w:sz w:val="22"/>
      </w:rPr>
      <w:tcPr>
        <w:shd w:val="clear" w:color="d6d6d6" w:themeColor="accent5" w:themeTint="40" w:fill="d6d6d6" w:themeFill="accent5" w:themeFillTint="40"/>
      </w:tcPr>
    </w:tblStylePr>
    <w:tblStylePr w:type="band2Horz">
      <w:rPr>
        <w:rFonts w:ascii="Arial" w:hAnsi="Arial"/>
        <w:color w:val="9e9e9e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49494" w:themeColor="accent6" w:themeTint="98" w:sz="4" w:space="0"/>
      </w:tblBorders>
    </w:tblPr>
    <w:tblStylePr w:type="firstRow">
      <w:rPr>
        <w:rFonts w:ascii="Arial" w:hAnsi="Arial"/>
        <w:i/>
        <w:color w:val="949494" w:themeColor="accent6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49494" w:themeColor="accent6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49494" w:themeColor="accent6" w:themeTint="98" w:themeShade="95"/>
        <w:sz w:val="22"/>
      </w:rPr>
      <w:tcPr>
        <w:tcBorders>
          <w:top w:val="single" w:color="949494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49494" w:themeColor="accent6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49494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49494" w:themeColor="accent6" w:themeTint="98" w:themeShade="95"/>
        <w:sz w:val="22"/>
      </w:rPr>
      <w:tcPr>
        <w:tcBorders>
          <w:top w:val="none" w:color="000000" w:sz="0" w:space="0"/>
          <w:left w:val="single" w:color="949494" w:themeColor="accent6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cPr>
        <w:shd w:val="clear" w:color="d2d2d2" w:themeColor="accent6" w:themeTint="40" w:fill="d2d2d2" w:themeFill="accent6" w:themeFillTint="40"/>
      </w:tcPr>
    </w:tblStylePr>
    <w:tblStylePr w:type="band1Horz">
      <w:rPr>
        <w:rFonts w:ascii="Arial" w:hAnsi="Arial"/>
        <w:color w:val="949494" w:themeColor="accent6" w:themeTint="98" w:themeShade="95"/>
        <w:sz w:val="22"/>
      </w:rPr>
      <w:tcPr>
        <w:shd w:val="clear" w:color="d2d2d2" w:themeColor="accent6" w:themeTint="40" w:fill="d2d2d2" w:themeFill="accent6" w:themeFillTint="40"/>
      </w:tcPr>
    </w:tblStylePr>
    <w:tblStylePr w:type="band2Horz">
      <w:rPr>
        <w:rFonts w:ascii="Arial" w:hAnsi="Arial"/>
        <w:color w:val="949494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dfdfdf" w:themeColor="accent1" w:themeTint="EA" w:fill="dfdfd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dfdfdf" w:themeColor="accent1" w:themeTint="EA" w:fill="dfdfd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dfdfdf" w:themeColor="accent1" w:themeTint="EA" w:fill="dfdfd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dfdfdf" w:themeColor="accent1" w:themeTint="EA" w:fill="dfdf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4f4f4" w:themeColor="accent1" w:themeTint="50" w:fill="f4f4f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4f4f4" w:themeColor="accent1" w:themeTint="50" w:fill="f4f4f4" w:themeFill="accent1" w:themeFillTint="50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1d1d1" w:themeColor="accent2" w:themeTint="97" w:fill="d1d1d1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1d1d1" w:themeColor="accent2" w:themeTint="97" w:fill="d1d1d1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1d1d1" w:themeColor="accent2" w:themeTint="97" w:fill="d1d1d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fefef" w:themeColor="accent2" w:themeTint="32" w:fill="efefef" w:themeFill="accent2" w:themeFillTint="32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969696" w:themeColor="accent3" w:themeTint="FE" w:fill="969696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69696" w:themeColor="accent3" w:themeTint="FE" w:fill="969696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69696" w:themeColor="accent3" w:themeTint="FE" w:fill="969696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69696" w:themeColor="accent3" w:themeTint="FE" w:fill="96969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9e9e9" w:themeColor="accent3" w:themeTint="34" w:fill="e9e9e9" w:themeFill="accent3" w:themeFillTint="34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b2b2" w:themeColor="accent4" w:themeTint="9A" w:fill="b2b2b2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b2b2" w:themeColor="accent4" w:themeTint="9A" w:fill="b2b2b2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b2b2" w:themeColor="accent4" w:themeTint="9A" w:fill="b2b2b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e5e5" w:themeColor="accent4" w:themeTint="34" w:fill="e5e5e5" w:themeFill="accent4" w:themeFillTint="34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5f5f5f" w:themeColor="accent5" w:fill="5f5f5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f5f5f" w:themeColor="accent5" w:fill="5f5f5f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f5f5f" w:themeColor="accent5" w:fill="5f5f5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f5f5f" w:themeColor="accent5" w:fill="5f5f5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edede" w:themeColor="accent5" w:themeTint="34" w:fill="dedede" w:themeFill="accent5" w:themeFillTint="34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4d4d4d" w:themeColor="accent6" w:fill="4d4d4d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d4d4d" w:themeColor="accent6" w:fill="4d4d4d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4d4d4d" w:themeColor="accent6" w:fill="4d4d4d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d4d4d" w:themeColor="accent6" w:fill="4d4d4d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dada" w:themeColor="accent6" w:themeTint="34" w:fill="dadada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818181" w:themeColor="accent1" w:themeShade="95" w:sz="4" w:space="0"/>
        <w:left w:val="single" w:color="818181" w:themeColor="accent1" w:themeShade="95" w:sz="4" w:space="0"/>
        <w:bottom w:val="single" w:color="818181" w:themeColor="accent1" w:themeShade="95" w:sz="4" w:space="0"/>
        <w:right w:val="single" w:color="818181" w:themeColor="accent1" w:themeShade="95" w:sz="4" w:space="0"/>
        <w:insideH w:val="single" w:color="818181" w:themeColor="accent1" w:themeShade="95" w:sz="4" w:space="0"/>
        <w:insideV w:val="single" w:color="81818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fdfdf" w:themeColor="accent1" w:themeTint="EA" w:fill="dfdfd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dfdfdf" w:themeColor="accent1" w:themeTint="EA" w:fill="dfdfd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dfdfdf" w:themeColor="accent1" w:themeTint="EA" w:fill="dfdfd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dfdfdf" w:themeColor="accent1" w:themeTint="EA" w:fill="dfdf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4f4f4" w:themeColor="accent1" w:themeTint="50" w:fill="f4f4f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4f4f4" w:themeColor="accent1" w:themeTint="50" w:fill="f4f4f4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86868" w:themeColor="accent2" w:themeShade="95" w:sz="4" w:space="0"/>
        <w:left w:val="single" w:color="686868" w:themeColor="accent2" w:themeShade="95" w:sz="4" w:space="0"/>
        <w:bottom w:val="single" w:color="686868" w:themeColor="accent2" w:themeShade="95" w:sz="4" w:space="0"/>
        <w:right w:val="single" w:color="686868" w:themeColor="accent2" w:themeShade="95" w:sz="4" w:space="0"/>
        <w:insideH w:val="single" w:color="686868" w:themeColor="accent2" w:themeShade="95" w:sz="4" w:space="0"/>
        <w:insideV w:val="single" w:color="686868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1d1d1" w:themeColor="accent2" w:themeTint="97" w:fill="d1d1d1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1d1d1" w:themeColor="accent2" w:themeTint="97" w:fill="d1d1d1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1d1d1" w:themeColor="accent2" w:themeTint="97" w:fill="d1d1d1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1d1d1" w:themeColor="accent2" w:themeTint="97" w:fill="d1d1d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fefef" w:themeColor="accent2" w:themeTint="32" w:fill="efefef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fefef" w:themeColor="accent2" w:themeTint="32" w:fill="efefef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75757" w:themeColor="accent3" w:themeShade="95" w:sz="4" w:space="0"/>
        <w:left w:val="single" w:color="575757" w:themeColor="accent3" w:themeShade="95" w:sz="4" w:space="0"/>
        <w:bottom w:val="single" w:color="575757" w:themeColor="accent3" w:themeShade="95" w:sz="4" w:space="0"/>
        <w:right w:val="single" w:color="575757" w:themeColor="accent3" w:themeShade="95" w:sz="4" w:space="0"/>
        <w:insideH w:val="single" w:color="575757" w:themeColor="accent3" w:themeShade="95" w:sz="4" w:space="0"/>
        <w:insideV w:val="single" w:color="575757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69696" w:themeColor="accent3" w:themeTint="FE" w:fill="969696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69696" w:themeColor="accent3" w:themeTint="FE" w:fill="969696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69696" w:themeColor="accent3" w:themeTint="FE" w:fill="969696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69696" w:themeColor="accent3" w:themeTint="FE" w:fill="96969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9e9e9" w:themeColor="accent3" w:themeTint="34" w:fill="e9e9e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9e9e9" w:themeColor="accent3" w:themeTint="34" w:fill="e9e9e9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4A4A" w:themeColor="accent4" w:themeShade="95" w:sz="4" w:space="0"/>
        <w:left w:val="single" w:color="4A4A4A" w:themeColor="accent4" w:themeShade="95" w:sz="4" w:space="0"/>
        <w:bottom w:val="single" w:color="4A4A4A" w:themeColor="accent4" w:themeShade="95" w:sz="4" w:space="0"/>
        <w:right w:val="single" w:color="4A4A4A" w:themeColor="accent4" w:themeShade="95" w:sz="4" w:space="0"/>
        <w:insideH w:val="single" w:color="4A4A4A" w:themeColor="accent4" w:themeShade="95" w:sz="4" w:space="0"/>
        <w:insideV w:val="single" w:color="4A4A4A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b2b2" w:themeColor="accent4" w:themeTint="9A" w:fill="b2b2b2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b2b2" w:themeColor="accent4" w:themeTint="9A" w:fill="b2b2b2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b2b2" w:themeColor="accent4" w:themeTint="9A" w:fill="b2b2b2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b2b2" w:themeColor="accent4" w:themeTint="9A" w:fill="b2b2b2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e5e5" w:themeColor="accent4" w:themeTint="34" w:fill="e5e5e5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e5e5" w:themeColor="accent4" w:themeTint="34" w:fill="e5e5e5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373737" w:themeColor="accent5" w:themeShade="95" w:sz="4" w:space="0"/>
        <w:left w:val="single" w:color="373737" w:themeColor="accent5" w:themeShade="95" w:sz="4" w:space="0"/>
        <w:bottom w:val="single" w:color="373737" w:themeColor="accent5" w:themeShade="95" w:sz="4" w:space="0"/>
        <w:right w:val="single" w:color="373737" w:themeColor="accent5" w:themeShade="95" w:sz="4" w:space="0"/>
        <w:insideH w:val="single" w:color="373737" w:themeColor="accent5" w:themeShade="95" w:sz="4" w:space="0"/>
        <w:insideV w:val="single" w:color="373737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f5f5f" w:themeColor="accent5" w:fill="5f5f5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f5f5f" w:themeColor="accent5" w:fill="5f5f5f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f5f5f" w:themeColor="accent5" w:fill="5f5f5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f5f5f" w:themeColor="accent5" w:fill="5f5f5f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edede" w:themeColor="accent5" w:themeTint="34" w:fill="deded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edede" w:themeColor="accent5" w:themeTint="34" w:fill="dedede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C2C2C" w:themeColor="accent6" w:themeShade="95" w:sz="4" w:space="0"/>
        <w:left w:val="single" w:color="2C2C2C" w:themeColor="accent6" w:themeShade="95" w:sz="4" w:space="0"/>
        <w:bottom w:val="single" w:color="2C2C2C" w:themeColor="accent6" w:themeShade="95" w:sz="4" w:space="0"/>
        <w:right w:val="single" w:color="2C2C2C" w:themeColor="accent6" w:themeShade="95" w:sz="4" w:space="0"/>
        <w:insideH w:val="single" w:color="2C2C2C" w:themeColor="accent6" w:themeShade="95" w:sz="4" w:space="0"/>
        <w:insideV w:val="single" w:color="2C2C2C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d4d4d" w:themeColor="accent6" w:fill="4d4d4d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d4d4d" w:themeColor="accent6" w:fill="4d4d4d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4d4d4d" w:themeColor="accent6" w:fill="4d4d4d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d4d4d" w:themeColor="accent6" w:fill="4d4d4d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dada" w:themeColor="accent6" w:themeTint="34" w:fill="dadad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dada" w:themeColor="accent6" w:themeTint="34" w:fill="dadada" w:themeFill="accent6" w:themeFillTint="34"/>
      </w:tcPr>
    </w:tblStyle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1F1F1" w:themeColor="accent1" w:themeTint="67" w:sz="4" w:space="0"/>
        <w:left w:val="single" w:color="F1F1F1" w:themeColor="accent1" w:themeTint="67" w:sz="4" w:space="0"/>
        <w:bottom w:val="single" w:color="F1F1F1" w:themeColor="accent1" w:themeTint="67" w:sz="4" w:space="0"/>
        <w:right w:val="single" w:color="F1F1F1" w:themeColor="accent1" w:themeTint="67" w:sz="4" w:space="0"/>
        <w:insideH w:val="single" w:color="F1F1F1" w:themeColor="accent1" w:themeTint="67" w:sz="4" w:space="0"/>
        <w:insideV w:val="single" w:color="F1F1F1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DDDD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DDDD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DDDD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1F1F1" w:themeColor="accent1" w:themeTint="67" w:sz="4" w:space="0"/>
          <w:left w:val="single" w:color="F1F1F1" w:themeColor="accent1" w:themeTint="67" w:sz="4" w:space="0"/>
          <w:bottom w:val="single" w:color="F1F1F1" w:themeColor="accent1" w:themeTint="67" w:sz="4" w:space="0"/>
          <w:right w:val="single" w:color="F1F1F1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FDFDF" w:themeColor="accent2" w:themeTint="67" w:sz="4" w:space="0"/>
        <w:left w:val="single" w:color="DFDFDF" w:themeColor="accent2" w:themeTint="67" w:sz="4" w:space="0"/>
        <w:bottom w:val="single" w:color="DFDFDF" w:themeColor="accent2" w:themeTint="67" w:sz="4" w:space="0"/>
        <w:right w:val="single" w:color="DFDFDF" w:themeColor="accent2" w:themeTint="67" w:sz="4" w:space="0"/>
        <w:insideH w:val="single" w:color="DFDFDF" w:themeColor="accent2" w:themeTint="67" w:sz="4" w:space="0"/>
        <w:insideV w:val="single" w:color="DFDFDF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1D1D1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1D1D1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1D1D1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FDFDF" w:themeColor="accent2" w:themeTint="67" w:sz="4" w:space="0"/>
          <w:left w:val="single" w:color="DFDFDF" w:themeColor="accent2" w:themeTint="67" w:sz="4" w:space="0"/>
          <w:bottom w:val="single" w:color="DFDFDF" w:themeColor="accent2" w:themeTint="67" w:sz="4" w:space="0"/>
          <w:right w:val="single" w:color="DFDFDF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4D4D4" w:themeColor="accent3" w:themeTint="67" w:sz="4" w:space="0"/>
        <w:left w:val="single" w:color="D4D4D4" w:themeColor="accent3" w:themeTint="67" w:sz="4" w:space="0"/>
        <w:bottom w:val="single" w:color="D4D4D4" w:themeColor="accent3" w:themeTint="67" w:sz="4" w:space="0"/>
        <w:right w:val="single" w:color="D4D4D4" w:themeColor="accent3" w:themeTint="67" w:sz="4" w:space="0"/>
        <w:insideH w:val="single" w:color="D4D4D4" w:themeColor="accent3" w:themeTint="67" w:sz="4" w:space="0"/>
        <w:insideV w:val="single" w:color="D4D4D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0C0C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0C0C0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0C0C0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4D4D4" w:themeColor="accent3" w:themeTint="67" w:sz="4" w:space="0"/>
          <w:left w:val="single" w:color="D4D4D4" w:themeColor="accent3" w:themeTint="67" w:sz="4" w:space="0"/>
          <w:bottom w:val="single" w:color="D4D4D4" w:themeColor="accent3" w:themeTint="67" w:sz="4" w:space="0"/>
          <w:right w:val="single" w:color="D4D4D4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BCB" w:themeColor="accent4" w:themeTint="67" w:sz="4" w:space="0"/>
        <w:left w:val="single" w:color="CBCBCB" w:themeColor="accent4" w:themeTint="67" w:sz="4" w:space="0"/>
        <w:bottom w:val="single" w:color="CBCBCB" w:themeColor="accent4" w:themeTint="67" w:sz="4" w:space="0"/>
        <w:right w:val="single" w:color="CBCBCB" w:themeColor="accent4" w:themeTint="67" w:sz="4" w:space="0"/>
        <w:insideH w:val="single" w:color="CBCBCB" w:themeColor="accent4" w:themeTint="67" w:sz="4" w:space="0"/>
        <w:insideV w:val="single" w:color="CBCBCB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B2B2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B2B2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B2B2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BCB" w:themeColor="accent4" w:themeTint="67" w:sz="4" w:space="0"/>
          <w:left w:val="single" w:color="CBCBCB" w:themeColor="accent4" w:themeTint="67" w:sz="4" w:space="0"/>
          <w:bottom w:val="single" w:color="CBCBCB" w:themeColor="accent4" w:themeTint="67" w:sz="4" w:space="0"/>
          <w:right w:val="single" w:color="CBCBCB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EBEBE" w:themeColor="accent5" w:themeTint="67" w:sz="4" w:space="0"/>
        <w:left w:val="single" w:color="BEBEBE" w:themeColor="accent5" w:themeTint="67" w:sz="4" w:space="0"/>
        <w:bottom w:val="single" w:color="BEBEBE" w:themeColor="accent5" w:themeTint="67" w:sz="4" w:space="0"/>
        <w:right w:val="single" w:color="BEBEBE" w:themeColor="accent5" w:themeTint="67" w:sz="4" w:space="0"/>
        <w:insideH w:val="single" w:color="BEBEBE" w:themeColor="accent5" w:themeTint="67" w:sz="4" w:space="0"/>
        <w:insideV w:val="single" w:color="BEBEB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E9E9E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E9E9E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E9E9E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EBEBE" w:themeColor="accent5" w:themeTint="67" w:sz="4" w:space="0"/>
          <w:left w:val="single" w:color="BEBEBE" w:themeColor="accent5" w:themeTint="67" w:sz="4" w:space="0"/>
          <w:bottom w:val="single" w:color="BEBEBE" w:themeColor="accent5" w:themeTint="67" w:sz="4" w:space="0"/>
          <w:right w:val="single" w:color="BEBEBE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B7B7" w:themeColor="accent6" w:themeTint="67" w:sz="4" w:space="0"/>
        <w:left w:val="single" w:color="B7B7B7" w:themeColor="accent6" w:themeTint="67" w:sz="4" w:space="0"/>
        <w:bottom w:val="single" w:color="B7B7B7" w:themeColor="accent6" w:themeTint="67" w:sz="4" w:space="0"/>
        <w:right w:val="single" w:color="B7B7B7" w:themeColor="accent6" w:themeTint="67" w:sz="4" w:space="0"/>
        <w:insideH w:val="single" w:color="B7B7B7" w:themeColor="accent6" w:themeTint="67" w:sz="4" w:space="0"/>
        <w:insideV w:val="single" w:color="B7B7B7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49494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49494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49494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B7B7" w:themeColor="accent6" w:themeTint="67" w:sz="4" w:space="0"/>
          <w:left w:val="single" w:color="B7B7B7" w:themeColor="accent6" w:themeTint="67" w:sz="4" w:space="0"/>
          <w:bottom w:val="single" w:color="B7B7B7" w:themeColor="accent6" w:themeTint="67" w:sz="4" w:space="0"/>
          <w:right w:val="single" w:color="B7B7B7" w:themeColor="accent6" w:themeTint="67" w:sz="4" w:space="0"/>
        </w:tcBorders>
      </w:tcPr>
    </w:tblStylePr>
  </w:style>
  <w:style w:type="character" w:styleId="FootnoteTextChar" w:customStyle="1">
    <w:name w:val="Footnote Text Char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character" w:styleId="a8" w:customStyle="1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</w:style>
  <w:style w:type="paragraph" w:styleId="ac">
    <w:name w:val="Normal (Web)"/>
    <w:basedOn w:val="a"/>
    <w:pPr>
      <w:spacing w:before="100" w:beforeAutospacing="1" w:after="100" w:afterAutospacing="1"/>
    </w:pPr>
    <w:rPr>
      <w:rFonts w:eastAsia="Arial Unicode MS"/>
      <w:color w:val="000000"/>
      <w:sz w:val="27"/>
      <w:szCs w:val="27"/>
      <w:lang w:val="ru-RU" w:eastAsia="ru-RU"/>
    </w:rPr>
  </w:style>
  <w:style w:type="paragraph" w:styleId="ad">
    <w:name w:val="Balloon Text"/>
    <w:basedOn w:val="a"/>
    <w:link w:val="ae"/>
    <w:unhideWhenUsed/>
    <w:rPr>
      <w:rFonts w:ascii="Segoe UI" w:hAnsi="Segoe UI" w:cs="Segoe UI"/>
      <w:sz w:val="18"/>
      <w:szCs w:val="18"/>
    </w:rPr>
  </w:style>
  <w:style w:type="character" w:styleId="ae" w:customStyle="1">
    <w:name w:val="Текст выноски Знак"/>
    <w:basedOn w:val="a0"/>
    <w:link w:val="ad"/>
    <w:rPr>
      <w:rFonts w:ascii="Segoe UI" w:hAnsi="Segoe UI" w:eastAsia="Times New Roman" w:cs="Segoe UI"/>
      <w:sz w:val="18"/>
      <w:szCs w:val="18"/>
      <w:lang w:val="en-US"/>
    </w:rPr>
  </w:style>
  <w:style w:type="paragraph" w:styleId="af">
    <w:name w:val="List Paragraph"/>
    <w:basedOn w:val="a"/>
    <w:link w:val="af0"/>
    <w:uiPriority w:val="34"/>
    <w:qFormat/>
    <w:pPr>
      <w:ind w:left="720"/>
      <w:contextualSpacing/>
    </w:pPr>
  </w:style>
  <w:style w:type="table" w:styleId="af1">
    <w:name w:val="Table Grid"/>
    <w:basedOn w:val="a1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2">
    <w:name w:val="annotation text"/>
    <w:basedOn w:val="a"/>
    <w:link w:val="af3"/>
    <w:uiPriority w:val="99"/>
    <w:unhideWhenUsed/>
    <w:pPr>
      <w:spacing w:after="200"/>
    </w:pPr>
    <w:rPr>
      <w:rFonts w:asciiTheme="minorHAnsi" w:hAnsiTheme="minorHAnsi" w:eastAsiaTheme="minorHAnsi" w:cstheme="minorBidi"/>
      <w:sz w:val="20"/>
      <w:szCs w:val="20"/>
      <w:lang w:val="ru-RU"/>
    </w:rPr>
  </w:style>
  <w:style w:type="character" w:styleId="af3" w:customStyle="1">
    <w:name w:val="Текст примечания Знак"/>
    <w:basedOn w:val="a0"/>
    <w:link w:val="af2"/>
    <w:uiPriority w:val="99"/>
    <w:rPr>
      <w:sz w:val="20"/>
      <w:szCs w:val="20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0" w:customStyle="1">
    <w:name w:val="Абзац списка Знак"/>
    <w:basedOn w:val="a0"/>
    <w:link w:val="af"/>
    <w:uiPriority w:val="34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f5">
    <w:name w:val="Title"/>
    <w:basedOn w:val="a"/>
    <w:link w:val="af6"/>
    <w:qFormat/>
    <w:pPr>
      <w:spacing w:line="240" w:lineRule="atLeast"/>
      <w:jc w:val="center"/>
    </w:pPr>
    <w:rPr>
      <w:bCs/>
      <w:color w:val="000000"/>
      <w:sz w:val="36"/>
      <w:szCs w:val="20"/>
      <w:lang w:val="ru-RU" w:eastAsia="ru-RU"/>
    </w:rPr>
  </w:style>
  <w:style w:type="character" w:styleId="af6" w:customStyle="1">
    <w:name w:val="Заголовок Знак"/>
    <w:basedOn w:val="a0"/>
    <w:link w:val="af5"/>
    <w:rPr>
      <w:rFonts w:ascii="Times New Roman" w:hAnsi="Times New Roman" w:eastAsia="Times New Roman" w:cs="Times New Roman"/>
      <w:bCs/>
      <w:color w:val="000000"/>
      <w:sz w:val="36"/>
      <w:szCs w:val="20"/>
      <w:lang w:eastAsia="ru-RU"/>
    </w:rPr>
  </w:style>
  <w:style w:type="paragraph" w:styleId="af7">
    <w:name w:val="Revision"/>
    <w:hidden/>
    <w:uiPriority w:val="99"/>
    <w:semiHidden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10" w:customStyle="1">
    <w:name w:val="Заголовок 1 Знак"/>
    <w:basedOn w:val="a0"/>
    <w:link w:val="1"/>
    <w:rPr>
      <w:rFonts w:ascii="Courier New" w:hAnsi="Courier New" w:eastAsia="Times New Roman" w:cs="Times New Roman"/>
      <w:sz w:val="24"/>
      <w:szCs w:val="20"/>
      <w:lang w:eastAsia="ru-RU"/>
    </w:rPr>
  </w:style>
  <w:style w:type="character" w:styleId="20" w:customStyle="1">
    <w:name w:val="Заголовок 2 Знак"/>
    <w:basedOn w:val="a0"/>
    <w:link w:val="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character" w:styleId="af9" w:customStyle="1">
    <w:name w:val="Верхний колонтитул Знак"/>
    <w:basedOn w:val="a0"/>
    <w:link w:val="af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a">
    <w:name w:val="footer"/>
    <w:basedOn w:val="a"/>
    <w:link w:val="afb"/>
    <w:uiPriority w:val="99"/>
    <w:pPr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character" w:styleId="afb" w:customStyle="1">
    <w:name w:val="Нижний колонтитул Знак"/>
    <w:basedOn w:val="a0"/>
    <w:link w:val="afa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c">
    <w:name w:val="Body Text Indent"/>
    <w:basedOn w:val="a"/>
    <w:link w:val="afd"/>
    <w:pPr>
      <w:ind w:left="708" w:firstLine="708"/>
      <w:jc w:val="both"/>
    </w:pPr>
    <w:rPr>
      <w:rFonts w:ascii="Courier New" w:hAnsi="Courier New"/>
      <w:szCs w:val="20"/>
      <w:lang w:val="ru-RU" w:eastAsia="ru-RU"/>
    </w:rPr>
  </w:style>
  <w:style w:type="character" w:styleId="afd" w:customStyle="1">
    <w:name w:val="Основной текст с отступом Знак"/>
    <w:basedOn w:val="a0"/>
    <w:link w:val="afc"/>
    <w:rPr>
      <w:rFonts w:ascii="Courier New" w:hAnsi="Courier New" w:eastAsia="Times New Roman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pPr>
      <w:ind w:left="708"/>
    </w:pPr>
    <w:rPr>
      <w:szCs w:val="20"/>
      <w:lang w:val="ru-RU" w:eastAsia="ru-RU"/>
    </w:rPr>
  </w:style>
  <w:style w:type="character" w:styleId="26" w:customStyle="1">
    <w:name w:val="Основной текст с отступом 2 Знак"/>
    <w:basedOn w:val="a0"/>
    <w:link w:val="25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table" w:styleId="13" w:customStyle="1">
    <w:name w:val="Сетка таблицы1"/>
    <w:basedOn w:val="a1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>
    <w:name w:val="Subtitle"/>
    <w:basedOn w:val="a"/>
    <w:next w:val="a"/>
    <w:link w:val="aff0"/>
    <w:qFormat/>
    <w:pPr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styleId="aff0" w:customStyle="1">
    <w:name w:val="Подзаголовок Знак"/>
    <w:basedOn w:val="a0"/>
    <w:link w:val="aff"/>
    <w:rPr>
      <w:rFonts w:ascii="Cambria" w:hAnsi="Cambria" w:eastAsia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styleId="aff2">
    <w:name w:val="Strong"/>
    <w:basedOn w:val="a0"/>
    <w:uiPriority w:val="22"/>
    <w:qFormat/>
    <w:rPr>
      <w:b/>
      <w:bCs/>
    </w:rPr>
  </w:style>
  <w:style w:type="paragraph" w:styleId="aff3">
    <w:name w:val="footnote text"/>
    <w:basedOn w:val="a"/>
    <w:link w:val="aff4"/>
    <w:uiPriority w:val="99"/>
    <w:rPr>
      <w:sz w:val="20"/>
      <w:szCs w:val="20"/>
      <w:lang w:val="ru-RU" w:eastAsia="ru-RU"/>
    </w:rPr>
  </w:style>
  <w:style w:type="character" w:styleId="aff4" w:customStyle="1">
    <w:name w:val="Текст сноски Знак"/>
    <w:basedOn w:val="a0"/>
    <w:link w:val="aff3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f5">
    <w:name w:val="footnote reference"/>
    <w:uiPriority w:val="99"/>
    <w:rPr>
      <w:vertAlign w:val="superscript"/>
    </w:rPr>
  </w:style>
  <w:style w:type="paragraph" w:styleId="aff6">
    <w:name w:val="annotation subject"/>
    <w:basedOn w:val="af2"/>
    <w:next w:val="af2"/>
    <w:link w:val="aff7"/>
    <w:uiPriority w:val="99"/>
    <w:semiHidden/>
    <w:unhideWhenUsed/>
    <w:pPr>
      <w:spacing w:after="0"/>
    </w:pPr>
    <w:rPr>
      <w:rFonts w:ascii="Times New Roman" w:hAnsi="Times New Roman" w:eastAsia="Times New Roman" w:cs="Times New Roman"/>
      <w:b/>
      <w:bCs/>
      <w:lang w:val="en-US"/>
    </w:rPr>
  </w:style>
  <w:style w:type="character" w:styleId="aff7" w:customStyle="1">
    <w:name w:val="Тема примечания Знак"/>
    <w:basedOn w:val="af3"/>
    <w:link w:val="aff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character" w:styleId="14" w:customStyle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docdata" w:customStyle="1">
    <w:name w:val="docdata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docy" w:customStyle="1">
    <w:name w:val="docy"/>
    <w:basedOn w:val="a0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https://www.saratovenergo.ru/about/contacts/territorial-divisions/" TargetMode="External"/><Relationship Id="rId13" Type="http://schemas.openxmlformats.org/officeDocument/2006/relationships/hyperlink" Target="mailto:se_support@sarenergo.ru" TargetMode="External"/><Relationship Id="rId14" Type="http://schemas.openxmlformats.org/officeDocument/2006/relationships/hyperlink" Target="mailto:office@sarenerg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Grayscale">
      <a:dk1>
        <a:srgbClr val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>
    <a:extraClrScheme>
      <a:clrScheme name="Стандартная">
        <a:dk1>
          <a:sysClr val="windowText" lastClr="000000"/>
        </a:dk1>
        <a:lt1>
          <a:sysClr val="window" lastClr="FFFFFF"/>
        </a:lt1>
        <a:dk2>
          <a:srgbClr val="44546A"/>
        </a:dk2>
        <a:lt2>
          <a:srgbClr val="E7E6E6"/>
        </a:lt2>
        <a:accent1>
          <a:srgbClr val="5B9BD5"/>
        </a:accent1>
        <a:accent2>
          <a:srgbClr val="ED7D31"/>
        </a:accent2>
        <a:accent3>
          <a:srgbClr val="A5A5A5"/>
        </a:accent3>
        <a:accent4>
          <a:srgbClr val="FFC000"/>
        </a:accent4>
        <a:accent5>
          <a:srgbClr val="4472C4"/>
        </a:accent5>
        <a:accent6>
          <a:srgbClr val="70AD47"/>
        </a:accent6>
        <a:hlink>
          <a:srgbClr val="0563C1"/>
        </a:hlink>
        <a:folHlink>
          <a:srgbClr val="954F72"/>
        </a:folHlink>
      </a:clrScheme>
    </a:extraClrScheme>
  </a:extraClrScheme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0D94E-17C9-4A9E-9830-BEAC5CAF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14691</Characters>
  <CharactersWithSpaces>17234</CharactersWithSpaces>
  <Company/>
  <DocSecurity>0</DocSecurity>
  <HyperlinksChanged>false</HyperlinksChanged>
  <Lines>122</Lines>
  <LinksUpToDate>false</LinksUpToDate>
  <Pages>1</Pages>
  <Paragraphs>34</Paragraphs>
  <ScaleCrop>false</ScaleCrop>
  <SharedDoc>false</SharedDoc>
  <Template>Normal</Template>
  <TotalTime>1</TotalTime>
  <Words>2577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Павлють Анна Викторовна</dc:creator>
  <cp:lastModifiedBy>vasilkov_aa</cp:lastModifiedBy>
  <cp:revision>2</cp:revision>
  <dcterms:created xsi:type="dcterms:W3CDTF">2026-03-20T08:58:00Z</dcterms:created>
  <dcterms:modified xsi:type="dcterms:W3CDTF">2026-03-20T08:58:00Z</dcterms:modified>
</cp:coreProperties>
</file>