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f4"/>
        <w:spacing w:line="240" w:lineRule="auto"/>
        <w:jc w:val="right"/>
        <w:rPr>
          <w:bCs w:val="0"/>
          <w:color w:val="auto"/>
          <w:sz w:val="24"/>
          <w:szCs w:val="24"/>
        </w:rPr>
      </w:pPr>
      <w:r>
        <w:rPr>
          <w:bCs w:val="0"/>
          <w:color w:val="auto"/>
          <w:sz w:val="24"/>
          <w:szCs w:val="24"/>
          <w:lang w:eastAsia="en-US"/>
        </w:rPr>
        <w:t xml:space="preserve">Приложение №</w:t>
      </w:r>
      <w:r>
        <w:rPr>
          <w:bCs w:val="0"/>
          <w:color w:val="auto"/>
          <w:sz w:val="24"/>
          <w:szCs w:val="24"/>
          <w:lang w:eastAsia="en-US"/>
        </w:rPr>
        <w:t xml:space="preserve">4</w:t>
      </w:r>
      <w:r>
        <w:rPr>
          <w:bCs w:val="0"/>
          <w:color w:val="auto"/>
          <w:sz w:val="24"/>
          <w:szCs w:val="24"/>
          <w:lang w:eastAsia="en-US"/>
        </w:rPr>
        <w:t xml:space="preserve"> к приказу от _____№______</w:t>
      </w:r>
    </w:p>
    <w:p>
      <w:pPr>
        <w:pStyle w:val="af4"/>
        <w:spacing w:line="240" w:lineRule="auto"/>
        <w:jc w:val="right"/>
        <w:rPr>
          <w:b/>
          <w:color w:val="auto"/>
          <w:sz w:val="24"/>
          <w:szCs w:val="24"/>
          <w:lang w:eastAsia="en-US"/>
        </w:rPr>
      </w:pPr>
      <w:r>
        <w:rPr>
          <w:b/>
          <w:bCs w:val="0"/>
          <w:color w:val="auto"/>
          <w:sz w:val="24"/>
          <w:szCs w:val="24"/>
          <w:lang w:eastAsia="en-US"/>
        </w:rPr>
        <w:t xml:space="preserve">                                                                         </w:t>
      </w:r>
    </w:p>
    <w:p>
      <w:pPr>
        <w:pStyle w:val="af4"/>
        <w:spacing w:line="240" w:lineRule="auto"/>
        <w:rPr>
          <w:b/>
          <w:bCs w:val="0"/>
          <w:color w:val="auto"/>
          <w:sz w:val="24"/>
          <w:szCs w:val="24"/>
        </w:rPr>
      </w:pPr>
      <w:r>
        <w:rPr>
          <w:b/>
          <w:bCs w:val="0"/>
          <w:color w:val="auto"/>
          <w:sz w:val="24"/>
          <w:szCs w:val="24"/>
          <w:lang w:eastAsia="en-US"/>
        </w:rPr>
        <w:t xml:space="preserve">Отчет по Программе мероприятий по повышению качества обслуживания </w:t>
      </w:r>
    </w:p>
    <w:p>
      <w:pPr>
        <w:pStyle w:val="af4"/>
        <w:spacing w:line="240" w:lineRule="auto"/>
        <w:rPr>
          <w:b/>
          <w:bCs w:val="0"/>
          <w:color w:val="auto"/>
          <w:sz w:val="24"/>
          <w:szCs w:val="24"/>
        </w:rPr>
      </w:pPr>
      <w:r>
        <w:rPr>
          <w:b/>
          <w:bCs w:val="0"/>
          <w:color w:val="auto"/>
          <w:sz w:val="24"/>
          <w:szCs w:val="24"/>
          <w:lang w:eastAsia="en-US"/>
        </w:rPr>
        <w:t xml:space="preserve">потребителей (покупателей) ПАО "Саратовэнерго" </w:t>
      </w:r>
    </w:p>
    <w:p>
      <w:pPr>
        <w:pStyle w:val="af4"/>
        <w:spacing w:line="240" w:lineRule="auto"/>
        <w:rPr>
          <w:b/>
          <w:bCs w:val="0"/>
          <w:color w:val="auto"/>
          <w:sz w:val="24"/>
          <w:szCs w:val="24"/>
        </w:rPr>
      </w:pPr>
      <w:bookmarkStart w:id="0" w:name="_Hlk135406154"/>
      <w:r>
        <w:rPr>
          <w:b/>
          <w:bCs w:val="0"/>
          <w:color w:val="auto"/>
          <w:sz w:val="24"/>
          <w:szCs w:val="24"/>
          <w:lang w:eastAsia="en-US"/>
        </w:rPr>
        <w:t xml:space="preserve">на 2025 год </w:t>
      </w:r>
      <w:bookmarkEnd w:id="0"/>
    </w:p>
    <w:p>
      <w:pPr>
        <w:jc w:val="center"/>
        <w:rPr>
          <w:lang w:val="ru-RU"/>
        </w:rPr>
      </w:pPr>
    </w:p>
    <w:p>
      <w:pPr>
        <w:pStyle w:val="af2"/>
        <w:ind w:left="0" w:firstLine="720"/>
        <w:jc w:val="both"/>
        <w:rPr>
          <w:highlight w:val="red"/>
          <w:lang w:val="ru-RU"/>
        </w:rPr>
      </w:pPr>
    </w:p>
    <w:p>
      <w:pPr>
        <w:pStyle w:val="af2"/>
        <w:numPr>
          <w:numId w:val="3"/>
          <w:ilvl w:val="0"/>
        </w:numPr>
        <w:ind w:left="0" w:firstLine="720"/>
        <w:jc w:val="both"/>
        <w:rPr>
          <w:b/>
          <w:highlight w:val="white"/>
        </w:rPr>
      </w:pPr>
      <w:r>
        <w:rPr>
          <w:b/>
          <w:highlight w:val="white"/>
          <w:lang w:val="ru-RU"/>
        </w:rPr>
        <w:t xml:space="preserve"> </w:t>
      </w:r>
      <w:r>
        <w:rPr>
          <w:b/>
          <w:highlight w:val="white"/>
        </w:rPr>
        <w:t xml:space="preserve">Анализ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текущего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состояния</w:t>
      </w:r>
      <w:r>
        <w:rPr>
          <w:b/>
          <w:highlight w:val="white"/>
        </w:rPr>
        <w:t xml:space="preserve">.</w:t>
      </w:r>
    </w:p>
    <w:p>
      <w:pPr>
        <w:pStyle w:val="af2"/>
        <w:ind w:left="0" w:firstLine="720"/>
        <w:jc w:val="both"/>
        <w:rPr>
          <w:b/>
          <w:highlight w:val="white"/>
        </w:rPr>
      </w:pPr>
    </w:p>
    <w:p>
      <w:pPr>
        <w:pStyle w:val="af2"/>
        <w:ind w:left="0" w:firstLine="720"/>
        <w:jc w:val="both"/>
        <w:rPr>
          <w:b/>
          <w:bCs/>
          <w:highlight w:val="white"/>
          <w:lang w:val="ru-RU"/>
        </w:rPr>
      </w:pPr>
      <w:r>
        <w:rPr>
          <w:highlight w:val="white"/>
          <w:lang w:val="ru-RU"/>
        </w:rPr>
        <w:t xml:space="preserve">В Обществе организовано обслуживание клиентов – физических лиц (В2С) и юридических лиц (В2В) в режиме 24/7 с распределением нагрузки по очным и дистанционным каналам коммуникаций.</w:t>
      </w:r>
    </w:p>
    <w:p>
      <w:pPr>
        <w:ind w:firstLine="720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В целях очного обслуживания клиентов в ПАО «Саратовэнер</w:t>
      </w:r>
      <w:r>
        <w:rPr>
          <w:highlight w:val="white"/>
          <w:lang w:val="ru-RU"/>
        </w:rPr>
        <w:t xml:space="preserve">го» функционируют 8 центров обслуживания ФЛ (ЦО ФЛ) и 20 групп по работе с клиентами ФЛ (ГРП ФЛ). </w:t>
      </w:r>
    </w:p>
    <w:p>
      <w:pPr>
        <w:ind w:firstLine="720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В 4 ЦО ФЛ и 5 ГРП ФЛ имеется по 2 офиса обслуживания клиентов ФЛ, таким образом обслуживание клиентов ФЛ осуществляется в 37 офисах обслуживания. Обслуживани</w:t>
      </w:r>
      <w:r>
        <w:rPr>
          <w:highlight w:val="white"/>
          <w:lang w:val="ru-RU"/>
        </w:rPr>
        <w:t xml:space="preserve">е клиентов ЮЛ осуществляется в 7 межрайонных отделениях (МРО).</w:t>
      </w:r>
    </w:p>
    <w:p>
      <w:pPr>
        <w:ind w:firstLine="720"/>
        <w:jc w:val="both"/>
        <w:rPr>
          <w:highlight w:val="red"/>
          <w:lang w:val="ru-RU"/>
        </w:rPr>
      </w:pPr>
    </w:p>
    <w:p>
      <w:pPr>
        <w:ind w:firstLine="7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Перечень офисов обслуживания ПАО «Саратовэнерго»</w:t>
      </w:r>
    </w:p>
    <w:p>
      <w:pPr>
        <w:ind w:firstLine="720"/>
        <w:jc w:val="both"/>
        <w:rPr>
          <w:b/>
          <w:bCs/>
          <w:lang w:val="ru-RU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2438"/>
        <w:gridCol w:w="4675"/>
        <w:gridCol w:w="4790"/>
        <w:gridCol w:w="1701"/>
        <w:gridCol w:w="1700"/>
      </w:tblGrid>
      <w:tr>
        <w:trPr>
          <w:trHeight w:val="993"/>
        </w:trPr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Наименование центров обслуживания клиентов/клиентских офисов</w:t>
            </w:r>
          </w:p>
        </w:tc>
        <w:tc>
          <w:tcPr>
            <w:tcW w:w="4696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Адреса центров обслуживания клиентов/клиентских офисов</w:t>
            </w:r>
          </w:p>
        </w:tc>
        <w:tc>
          <w:tcPr>
            <w:tcW w:w="4819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График обслуживания</w:t>
            </w:r>
          </w:p>
        </w:tc>
        <w:tc>
          <w:tcPr>
            <w:tcW w:w="1701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Обслуживание сегмента B2C/B2B</w:t>
            </w:r>
          </w:p>
        </w:tc>
        <w:tc>
          <w:tcPr>
            <w:tcW w:w="1701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Возможность оплаты без комиссии</w:t>
            </w:r>
          </w:p>
        </w:tc>
      </w:tr>
      <w:tr>
        <w:trPr>
          <w:trHeight w:val="1262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Ершовского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Дергачевского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Ершовского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413503, Саратовская область,</w:t>
            </w:r>
          </w:p>
          <w:p>
            <w:r>
              <w:rPr>
                <w:lang w:val="ru-RU"/>
              </w:rPr>
              <w:t xml:space="preserve">г. Ершов, ул. </w:t>
            </w:r>
            <w:r>
              <w:t xml:space="preserve">Ломоносова</w:t>
            </w:r>
            <w:r>
              <w:t xml:space="preserve">, 2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</w:tc>
      </w:tr>
      <w:tr>
        <w:trPr>
          <w:trHeight w:val="557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Балашовского</w:t>
            </w:r>
            <w:r>
              <w:rPr>
                <w:lang w:val="ru-RU"/>
              </w:rPr>
              <w:t xml:space="preserve"> и Романовского районов (клиенты </w:t>
            </w:r>
            <w:r>
              <w:rPr>
                <w:lang w:val="ru-RU"/>
              </w:rPr>
              <w:t xml:space="preserve">Балашовского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412315, Саратовская область,</w:t>
            </w:r>
          </w:p>
          <w:p>
            <w:r>
              <w:rPr>
                <w:lang w:val="ru-RU"/>
              </w:rPr>
              <w:t xml:space="preserve">г. Балашов, ул. </w:t>
            </w:r>
            <w:r>
              <w:t xml:space="preserve">Володарского</w:t>
            </w:r>
            <w:r>
              <w:t xml:space="preserve">, 41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816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Пугачевского и </w:t>
            </w:r>
            <w:r>
              <w:rPr>
                <w:lang w:val="ru-RU"/>
              </w:rPr>
              <w:t xml:space="preserve">Перелюбского</w:t>
            </w:r>
            <w:r>
              <w:rPr>
                <w:lang w:val="ru-RU"/>
              </w:rPr>
              <w:t xml:space="preserve"> районов (клиенты Пугачевского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413720, Саратовская область,</w:t>
            </w:r>
          </w:p>
          <w:p>
            <w:r>
              <w:rPr>
                <w:lang w:val="ru-RU"/>
              </w:rPr>
              <w:t xml:space="preserve">г. Пугачев, ул. </w:t>
            </w:r>
            <w:r>
              <w:t xml:space="preserve">Сеницы</w:t>
            </w:r>
            <w:r>
              <w:t xml:space="preserve">, 26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1129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Энгельсского</w:t>
            </w:r>
            <w:r>
              <w:rPr>
                <w:lang w:val="ru-RU"/>
              </w:rPr>
              <w:t xml:space="preserve"> и Ровенского районов (клиенты </w:t>
            </w:r>
            <w:r>
              <w:rPr>
                <w:lang w:val="ru-RU"/>
              </w:rPr>
              <w:t xml:space="preserve">Энгельсского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413100, Саратовская область,</w:t>
            </w:r>
          </w:p>
          <w:p>
            <w:r>
              <w:rPr>
                <w:lang w:val="ru-RU"/>
              </w:rPr>
              <w:t xml:space="preserve">г. Энгельс, пл. </w:t>
            </w:r>
            <w:r>
              <w:t xml:space="preserve">Свободы</w:t>
            </w:r>
            <w:r>
              <w:t xml:space="preserve">, 15Б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30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Марксовского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413093,Саратовская</w:t>
            </w:r>
            <w:r>
              <w:rPr>
                <w:lang w:val="ru-RU"/>
              </w:rPr>
              <w:t xml:space="preserve"> область,</w:t>
            </w:r>
          </w:p>
          <w:p>
            <w:r>
              <w:rPr>
                <w:lang w:val="ru-RU"/>
              </w:rPr>
              <w:t xml:space="preserve">г. Маркс, ул. </w:t>
            </w:r>
            <w:r>
              <w:t xml:space="preserve">Кирова</w:t>
            </w:r>
            <w:r>
              <w:t xml:space="preserve">, 35а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974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Балаковского и Духовницкого районов (клиенты Балаковского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410857, Саратовская область,</w:t>
            </w:r>
          </w:p>
          <w:p>
            <w:r>
              <w:rPr>
                <w:lang w:val="ru-RU"/>
              </w:rPr>
              <w:t xml:space="preserve">г. Балаково, ул. </w:t>
            </w:r>
            <w:r>
              <w:t xml:space="preserve">Факел</w:t>
            </w:r>
            <w:r>
              <w:t xml:space="preserve"> </w:t>
            </w:r>
            <w:r>
              <w:t xml:space="preserve">Социализма</w:t>
            </w:r>
            <w:r>
              <w:t xml:space="preserve">, 21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985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Вольского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412900, Саратовская область,</w:t>
            </w:r>
          </w:p>
          <w:p>
            <w:r>
              <w:rPr>
                <w:lang w:val="ru-RU"/>
              </w:rPr>
              <w:t xml:space="preserve">г. Вольск,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/>
              </w:rPr>
              <w:t xml:space="preserve">ул.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Пугачева</w:t>
            </w: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, 33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</w:t>
            </w:r>
            <w:r>
              <w:t xml:space="preserve">минал</w:t>
            </w:r>
          </w:p>
          <w:p/>
        </w:tc>
      </w:tr>
      <w:tr>
        <w:trPr>
          <w:trHeight w:val="985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Саратовского района 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410002, Саратовская область,</w:t>
            </w:r>
          </w:p>
          <w:p>
            <w:r>
              <w:rPr>
                <w:lang w:val="ru-RU"/>
              </w:rPr>
              <w:t xml:space="preserve">г. Саратов, ул. им. </w:t>
            </w:r>
            <w:r>
              <w:t xml:space="preserve">Мичурина И.В., 166/168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пт</w:t>
            </w:r>
            <w:r>
              <w:rPr>
                <w:lang w:val="ru-RU"/>
              </w:rPr>
              <w:t xml:space="preserve">, сб. с 08:00 до 16:00 перерыв с 12:00 до 13:00                                                          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942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Балашовского</w:t>
            </w:r>
            <w:r>
              <w:rPr>
                <w:lang w:val="ru-RU"/>
              </w:rPr>
              <w:t xml:space="preserve"> и Романовского районов (клиенты Романовского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412270,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Романовка, ул. </w:t>
            </w:r>
            <w:r>
              <w:t xml:space="preserve">Народная</w:t>
            </w:r>
            <w:r>
              <w:t xml:space="preserve">, 13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17:00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  <w:r>
              <w:t xml:space="preserve"> </w:t>
            </w:r>
          </w:p>
        </w:tc>
      </w:tr>
      <w:tr>
        <w:trPr>
          <w:trHeight w:val="842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Пугачевского и </w:t>
            </w:r>
            <w:r>
              <w:rPr>
                <w:lang w:val="ru-RU"/>
              </w:rPr>
              <w:t xml:space="preserve">Перелюбского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Перелюбского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413750, Саратовская область,</w:t>
            </w:r>
          </w:p>
          <w:p>
            <w:r>
              <w:rPr>
                <w:lang w:val="ru-RU"/>
              </w:rPr>
              <w:t xml:space="preserve">с. Перелюб, ул. </w:t>
            </w:r>
            <w:r>
              <w:t xml:space="preserve">Чапаевская</w:t>
            </w:r>
            <w:r>
              <w:t xml:space="preserve">, 95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16:00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  <w:p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</w:t>
            </w:r>
            <w:r>
              <w:rPr>
                <w:lang w:val="ru-RU"/>
              </w:rPr>
              <w:t xml:space="preserve">Энгельсского</w:t>
            </w:r>
            <w:r>
              <w:rPr>
                <w:lang w:val="ru-RU"/>
              </w:rPr>
              <w:t xml:space="preserve"> и Ровенского районов (клиенты Ровенского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413270,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Ровное, ул. </w:t>
            </w:r>
            <w:r>
              <w:t xml:space="preserve">Гагарина</w:t>
            </w:r>
            <w:r>
              <w:t xml:space="preserve">, 10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17:00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Сайт</w:t>
            </w:r>
            <w:r>
              <w:t xml:space="preserve">/ЛКК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Центр обслуживания физических лиц Балаковского и Духовницкого районов (клиенты Духовницкого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413900,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Духовницкое, ул. </w:t>
            </w:r>
            <w:r>
              <w:t xml:space="preserve">Ленина</w:t>
            </w:r>
            <w:r>
              <w:t xml:space="preserve">, 12/12в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17:00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Сайт</w:t>
            </w:r>
            <w:r>
              <w:t xml:space="preserve">/ЛКК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Новоузенского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Александрово</w:t>
            </w:r>
            <w:r>
              <w:rPr>
                <w:lang w:val="ru-RU"/>
              </w:rPr>
              <w:t xml:space="preserve">-Гайского районов (клиенты </w:t>
            </w:r>
            <w:r>
              <w:rPr>
                <w:lang w:val="ru-RU"/>
              </w:rPr>
              <w:t xml:space="preserve">Новоузенского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413360, Саратовская область,</w:t>
            </w:r>
          </w:p>
          <w:p>
            <w:r>
              <w:rPr>
                <w:lang w:val="ru-RU"/>
              </w:rPr>
              <w:t xml:space="preserve">г. Новоузенск, ул. </w:t>
            </w:r>
            <w:r>
              <w:t xml:space="preserve">Московская</w:t>
            </w:r>
            <w:r>
              <w:t xml:space="preserve">, 30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Новоузенского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Александрово</w:t>
            </w:r>
            <w:r>
              <w:rPr>
                <w:lang w:val="ru-RU"/>
              </w:rPr>
              <w:t xml:space="preserve">-Гайского районов (клиенты </w:t>
            </w:r>
            <w:r>
              <w:rPr>
                <w:lang w:val="ru-RU"/>
              </w:rPr>
              <w:t xml:space="preserve">Александрово</w:t>
            </w:r>
            <w:r>
              <w:rPr>
                <w:lang w:val="ru-RU"/>
              </w:rPr>
              <w:t xml:space="preserve">-Гайского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413370, Саратовская область,</w:t>
            </w:r>
          </w:p>
          <w:p>
            <w:r>
              <w:rPr>
                <w:lang w:val="ru-RU"/>
              </w:rPr>
              <w:t xml:space="preserve">с. Александров Гай, пл. </w:t>
            </w:r>
            <w:r>
              <w:t xml:space="preserve">Торговый</w:t>
            </w:r>
            <w:r>
              <w:t xml:space="preserve"> </w:t>
            </w:r>
            <w:r>
              <w:t xml:space="preserve">центр</w:t>
            </w:r>
            <w:r>
              <w:t xml:space="preserve">, 9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16:00 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Озинского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413600,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Озинки, ул. </w:t>
            </w:r>
            <w:r>
              <w:t xml:space="preserve">Пуш</w:t>
            </w:r>
            <w:r>
              <w:t xml:space="preserve">кинская</w:t>
            </w:r>
            <w:r>
              <w:t xml:space="preserve">, 48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Татищевского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412170,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Татищево, ул. </w:t>
            </w:r>
            <w:r>
              <w:t xml:space="preserve">Крупской</w:t>
            </w:r>
            <w:r>
              <w:t xml:space="preserve">, 21 «А»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B2C/B2B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Аткарского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Екатериновского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Аткарского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412423, Саратовская область,</w:t>
            </w:r>
          </w:p>
          <w:p>
            <w:r>
              <w:rPr>
                <w:lang w:val="ru-RU"/>
              </w:rPr>
              <w:t xml:space="preserve">г. Аткарск, ул. </w:t>
            </w:r>
            <w:r>
              <w:t xml:space="preserve">Чапаева</w:t>
            </w:r>
            <w:r>
              <w:t xml:space="preserve">, 74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Аткарского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Екатериновского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Екатериновского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412120,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Екатериновка, ул. </w:t>
            </w:r>
            <w:r>
              <w:t xml:space="preserve">Советская</w:t>
            </w:r>
            <w:r>
              <w:t xml:space="preserve">, 47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17:00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Калининского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412484, Саратовская область,</w:t>
            </w:r>
          </w:p>
          <w:p>
            <w:r>
              <w:rPr>
                <w:lang w:val="ru-RU"/>
              </w:rPr>
              <w:t xml:space="preserve">г. Калининск, ул. </w:t>
            </w:r>
            <w:r>
              <w:t xml:space="preserve">Ко</w:t>
            </w:r>
            <w:r>
              <w:t xml:space="preserve">ллективная</w:t>
            </w:r>
            <w:r>
              <w:t xml:space="preserve">, 6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Красноармейского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412800 г. Красноармейск, Карла Маркса д.85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Лысогорского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412860,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Лысые Горы, ул. </w:t>
            </w:r>
            <w:r>
              <w:t xml:space="preserve">Луговая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</w:t>
            </w:r>
            <w:r>
              <w:rPr>
                <w:lang w:val="ru-RU"/>
              </w:rPr>
              <w:t xml:space="preserve">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Ртищевского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412031, Саратовская область,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г. Ртищево, ул. 60 лет Октября, 7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Самойловского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412370, Саратовская область,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Самойловка, ул. 30 лет Победы, 32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</w:t>
            </w:r>
            <w:r>
              <w:rPr>
                <w:lang w:val="ru-RU"/>
              </w:rPr>
              <w:t xml:space="preserve">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Аркадакского и </w:t>
            </w:r>
            <w:r>
              <w:rPr>
                <w:lang w:val="ru-RU"/>
              </w:rPr>
              <w:t xml:space="preserve">Турковского</w:t>
            </w:r>
            <w:r>
              <w:rPr>
                <w:lang w:val="ru-RU"/>
              </w:rPr>
              <w:t xml:space="preserve"> районов (клиенты Аркадакского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412210, Саратовская область,</w:t>
            </w:r>
          </w:p>
          <w:p>
            <w:r>
              <w:rPr>
                <w:lang w:val="ru-RU"/>
              </w:rPr>
              <w:t xml:space="preserve">г. Аркадак, ул. </w:t>
            </w:r>
            <w:r>
              <w:t xml:space="preserve">Ленина</w:t>
            </w:r>
            <w:r>
              <w:t xml:space="preserve">, 16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Аркадакского и </w:t>
            </w:r>
            <w:r>
              <w:rPr>
                <w:lang w:val="ru-RU"/>
              </w:rPr>
              <w:t xml:space="preserve">Турковского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Турковского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412070,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Турки, ул. </w:t>
            </w:r>
            <w:r>
              <w:t xml:space="preserve">Революционная</w:t>
            </w:r>
            <w:r>
              <w:t xml:space="preserve">, 13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17:00 пе</w:t>
            </w:r>
            <w:r>
              <w:rPr>
                <w:lang w:val="ru-RU"/>
              </w:rPr>
              <w:t xml:space="preserve">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Ивантеевского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413950, Саратовская область,</w:t>
            </w:r>
          </w:p>
          <w:p>
            <w:r>
              <w:rPr>
                <w:lang w:val="ru-RU"/>
              </w:rPr>
              <w:t xml:space="preserve">с. Ивантеевка, ул. </w:t>
            </w:r>
            <w:r>
              <w:t xml:space="preserve">Интернациональная</w:t>
            </w:r>
            <w:r>
              <w:t xml:space="preserve">, 1Б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16:00, пт. с 08:00 до 15:00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Воскресенского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413030, Саратовская область,</w:t>
            </w:r>
          </w:p>
          <w:p>
            <w:r>
              <w:rPr>
                <w:lang w:val="ru-RU"/>
              </w:rPr>
              <w:t xml:space="preserve">с. Воскресенское, ул. </w:t>
            </w:r>
            <w:r>
              <w:t xml:space="preserve">Калинина</w:t>
            </w:r>
            <w:r>
              <w:t xml:space="preserve">, 5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16:00, пт. с 08:00 до 15:00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Петровского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412540, саратовская область,</w:t>
            </w:r>
          </w:p>
          <w:p>
            <w:r>
              <w:rPr>
                <w:lang w:val="ru-RU"/>
              </w:rPr>
              <w:t xml:space="preserve">г. Петровск, ул. </w:t>
            </w:r>
            <w:r>
              <w:t xml:space="preserve">Спартака</w:t>
            </w:r>
            <w:r>
              <w:t xml:space="preserve">, 8а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Базарно-</w:t>
            </w:r>
            <w:r>
              <w:rPr>
                <w:lang w:val="ru-RU"/>
              </w:rPr>
              <w:t xml:space="preserve">Карабулакского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Балтайского</w:t>
            </w:r>
            <w:r>
              <w:rPr>
                <w:lang w:val="ru-RU"/>
              </w:rPr>
              <w:t xml:space="preserve"> районов (клиенты Базарно-</w:t>
            </w:r>
            <w:r>
              <w:rPr>
                <w:lang w:val="ru-RU"/>
              </w:rPr>
              <w:t xml:space="preserve">Карабулакского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412600,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Базарный Карабулак, ул. </w:t>
            </w:r>
            <w:r>
              <w:t xml:space="preserve">Ленина</w:t>
            </w:r>
            <w:r>
              <w:t xml:space="preserve">, 2a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>
            <w:r>
              <w:t xml:space="preserve"> 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Базарно-</w:t>
            </w:r>
            <w:r>
              <w:rPr>
                <w:lang w:val="ru-RU"/>
              </w:rPr>
              <w:t xml:space="preserve">Карабулакского</w:t>
            </w:r>
            <w:r>
              <w:rPr>
                <w:lang w:val="ru-RU"/>
              </w:rPr>
              <w:t xml:space="preserve"> и </w:t>
            </w:r>
            <w:r>
              <w:rPr>
                <w:lang w:val="ru-RU"/>
              </w:rPr>
              <w:t xml:space="preserve">Балтайского</w:t>
            </w:r>
            <w:r>
              <w:rPr>
                <w:lang w:val="ru-RU"/>
              </w:rPr>
              <w:t xml:space="preserve"> районов (клиенты </w:t>
            </w:r>
            <w:r>
              <w:rPr>
                <w:lang w:val="ru-RU"/>
              </w:rPr>
              <w:t xml:space="preserve">Балтайского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412630, Саратовская область,</w:t>
            </w:r>
          </w:p>
          <w:p>
            <w:r>
              <w:rPr>
                <w:lang w:val="ru-RU"/>
              </w:rPr>
              <w:t xml:space="preserve">с. Балтай, пер. </w:t>
            </w:r>
            <w:r>
              <w:t xml:space="preserve">Почтовый</w:t>
            </w:r>
            <w:r>
              <w:t xml:space="preserve">, 17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16:00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Новобурасского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412580,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Новые Бурасы, ул. </w:t>
            </w:r>
            <w:r>
              <w:t xml:space="preserve">Баумана</w:t>
            </w:r>
            <w:r>
              <w:t xml:space="preserve">, 32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</w:t>
            </w:r>
            <w:r>
              <w:rPr>
                <w:lang w:val="ru-RU"/>
              </w:rPr>
              <w:t xml:space="preserve">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Советского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413210, Саратовская область,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п. Степное, ул. 50 лет Победы, 13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Краснокутского</w:t>
            </w:r>
            <w:r>
              <w:rPr>
                <w:lang w:val="ru-RU"/>
              </w:rPr>
              <w:t xml:space="preserve"> и Питерского районов (клиенты </w:t>
            </w:r>
            <w:r>
              <w:rPr>
                <w:lang w:val="ru-RU"/>
              </w:rPr>
              <w:t xml:space="preserve">Краснокутского</w:t>
            </w:r>
            <w:r>
              <w:rPr>
                <w:lang w:val="ru-RU"/>
              </w:rPr>
              <w:t xml:space="preserve">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413240, Саратовская область,</w:t>
            </w:r>
          </w:p>
          <w:p>
            <w:r>
              <w:rPr>
                <w:lang w:val="ru-RU"/>
              </w:rPr>
              <w:t xml:space="preserve">г. Красный Кут, ул. </w:t>
            </w:r>
            <w:r>
              <w:t xml:space="preserve">Рабочая, 60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</w:t>
            </w:r>
            <w:r>
              <w:rPr>
                <w:lang w:val="ru-RU"/>
              </w:rPr>
              <w:t xml:space="preserve">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Краснокутского</w:t>
            </w:r>
            <w:r>
              <w:rPr>
                <w:lang w:val="ru-RU"/>
              </w:rPr>
              <w:t xml:space="preserve"> и Питерского районов (клиенты Питерского района)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413320, Саратовская область,</w:t>
            </w:r>
          </w:p>
          <w:p>
            <w:r>
              <w:rPr>
                <w:lang w:val="ru-RU"/>
              </w:rPr>
              <w:t xml:space="preserve">с. Питерка, ул. </w:t>
            </w:r>
            <w:r>
              <w:t xml:space="preserve">Ленина</w:t>
            </w:r>
            <w:r>
              <w:t xml:space="preserve">, 73, 2-й </w:t>
            </w:r>
            <w:r>
              <w:t xml:space="preserve">этаж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вт.и</w:t>
            </w:r>
            <w:r>
              <w:rPr>
                <w:lang w:val="ru-RU"/>
              </w:rPr>
              <w:t xml:space="preserve"> чт. с 08:00 до 16:00 перерыв с 12:00 до 13:00</w:t>
            </w:r>
            <w:r>
              <w:rPr>
                <w:lang w:val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Терминал</w:t>
            </w:r>
          </w:p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Федоровского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413410, Саратовская область,</w:t>
            </w:r>
          </w:p>
          <w:p>
            <w:r>
              <w:rPr>
                <w:lang w:val="ru-RU"/>
              </w:rPr>
              <w:t xml:space="preserve">р.п</w:t>
            </w:r>
            <w:r>
              <w:rPr>
                <w:lang w:val="ru-RU"/>
              </w:rPr>
              <w:t xml:space="preserve">. Мокроус, ул. </w:t>
            </w:r>
            <w:r>
              <w:t xml:space="preserve">Центральная</w:t>
            </w:r>
            <w:r>
              <w:t xml:space="preserve">, 55а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</w:t>
            </w:r>
            <w:r>
              <w:rPr>
                <w:lang w:val="ru-RU"/>
              </w:rPr>
              <w:t xml:space="preserve">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842"/>
        </w:trPr>
        <w:tc>
          <w:tcPr>
            <w:tcW w:w="2387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Хвалынского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412780, Саратовская область,</w:t>
            </w:r>
          </w:p>
          <w:p>
            <w:r>
              <w:rPr>
                <w:lang w:val="ru-RU"/>
              </w:rPr>
              <w:t xml:space="preserve">г. Хвалынск, ул. </w:t>
            </w:r>
            <w:r>
              <w:t xml:space="preserve">Советская</w:t>
            </w:r>
            <w:r>
              <w:t xml:space="preserve">, 128</w:t>
            </w:r>
          </w:p>
        </w:tc>
        <w:tc>
          <w:tcPr>
            <w:tcW w:w="4819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vMerge w:val="restart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 xml:space="preserve">Касса</w:t>
            </w:r>
            <w:r>
              <w:t xml:space="preserve"> /</w:t>
            </w:r>
            <w:r>
              <w:t xml:space="preserve">терминал</w:t>
            </w:r>
          </w:p>
          <w:p/>
          <w:p/>
        </w:tc>
      </w:tr>
      <w:tr>
        <w:trPr>
          <w:trHeight w:val="1005"/>
        </w:trPr>
        <w:tc>
          <w:tcPr>
            <w:tcW w:w="2387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Группа по работе с потребителями - физическими лицами </w:t>
            </w:r>
            <w:r>
              <w:rPr>
                <w:lang w:val="ru-RU"/>
              </w:rPr>
              <w:t xml:space="preserve">Краснопартизанского</w:t>
            </w:r>
            <w:r>
              <w:rPr>
                <w:lang w:val="ru-RU"/>
              </w:rPr>
              <w:t xml:space="preserve"> района</w:t>
            </w:r>
          </w:p>
        </w:tc>
        <w:tc>
          <w:tcPr>
            <w:tcW w:w="469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413540, Саратовская область,</w:t>
            </w:r>
          </w:p>
          <w:p>
            <w:r>
              <w:rPr>
                <w:lang w:val="ru-RU"/>
              </w:rPr>
              <w:t xml:space="preserve">п. Горный, ул. </w:t>
            </w:r>
            <w:r>
              <w:t xml:space="preserve">Краснопартизанская</w:t>
            </w:r>
            <w:r>
              <w:t xml:space="preserve">, 23</w:t>
            </w:r>
          </w:p>
        </w:tc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пн.- чт. с 08:00 до 17:00, пт. с 08:00 до 16:00</w:t>
            </w:r>
            <w:r>
              <w:rPr>
                <w:lang w:val="ru-RU"/>
              </w:rPr>
              <w:br/>
              <w:t xml:space="preserve">перерыв с 12:00 до 13:00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lang w:val="ru-RU" w:eastAsia="ru-RU"/>
              </w:rPr>
              <w:t xml:space="preserve">B2C</w:t>
            </w:r>
          </w:p>
        </w:tc>
        <w:tc>
          <w:tcPr>
            <w:tcW w:w="1701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  <w:p>
            <w:r>
              <w:t xml:space="preserve">Сайт</w:t>
            </w:r>
            <w:r>
              <w:t xml:space="preserve">/ЛКК</w:t>
            </w:r>
          </w:p>
          <w:p/>
          <w:p/>
        </w:tc>
      </w:tr>
    </w:tbl>
    <w:p>
      <w:pPr>
        <w:ind w:firstLine="720"/>
        <w:jc w:val="both"/>
        <w:rPr>
          <w:b/>
          <w:bCs/>
        </w:rPr>
      </w:pPr>
    </w:p>
    <w:p>
      <w:pPr>
        <w:tabs>
          <w:tab w:val="left" w:pos="1134"/>
        </w:tabs>
        <w:jc w:val="both"/>
      </w:pPr>
    </w:p>
    <w:p>
      <w:pPr>
        <w:tabs>
          <w:tab w:val="left" w:pos="1134"/>
        </w:tabs>
        <w:ind w:left="360"/>
        <w:jc w:val="both"/>
        <w:rPr>
          <w:lang w:val="ru-RU"/>
        </w:rPr>
      </w:pPr>
      <w:r>
        <w:rPr>
          <w:lang w:val="ru-RU" w:eastAsia="ru-RU"/>
        </w:rPr>
        <w:t xml:space="preserve">Внедрены типовые алгоритмы очного обслуживания клиентов В2С/В2В.</w:t>
      </w:r>
    </w:p>
    <w:p>
      <w:pPr>
        <w:ind w:firstLine="567"/>
        <w:contextualSpacing/>
        <w:jc w:val="both"/>
        <w:rPr>
          <w:lang w:val="ru-RU"/>
        </w:rPr>
      </w:pPr>
    </w:p>
    <w:p>
      <w:pPr>
        <w:spacing w:after="160" w:line="259" w:lineRule="auto"/>
        <w:ind w:firstLine="709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В целях дистанционного обслуживания </w:t>
      </w:r>
      <w:r>
        <w:rPr>
          <w:color w:val="111111"/>
          <w:lang w:val="ru-RU"/>
        </w:rPr>
        <w:t xml:space="preserve">клиентов Общества </w:t>
      </w:r>
      <w:r>
        <w:rPr>
          <w:rFonts w:eastAsiaTheme="minorHAnsi"/>
          <w:lang w:val="ru-RU"/>
        </w:rPr>
        <w:t xml:space="preserve">функционируют следующие интерактивные сервисы: </w:t>
      </w:r>
    </w:p>
    <w:p>
      <w:pPr>
        <w:spacing w:after="160" w:line="259" w:lineRule="auto"/>
        <w:ind w:firstLine="709"/>
        <w:jc w:val="both"/>
        <w:rPr>
          <w:rFonts w:eastAsiaTheme="minorHAnsi"/>
          <w:lang w:val="ru-RU"/>
        </w:rPr>
      </w:pPr>
    </w:p>
    <w:p>
      <w:pPr>
        <w:pStyle w:val="af2"/>
        <w:numPr>
          <w:numId w:val="5"/>
          <w:ilvl w:val="0"/>
        </w:numPr>
        <w:spacing w:after="1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  <w:b/>
          <w:lang w:val="ru-RU"/>
        </w:rPr>
        <w:t xml:space="preserve">Официальный сайт Общества</w:t>
      </w:r>
    </w:p>
    <w:p>
      <w:pPr>
        <w:pStyle w:val="af2"/>
        <w:numPr>
          <w:numId w:val="4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организовано круглосуточное обслуживание клиентов посредством сайта; </w:t>
      </w:r>
    </w:p>
    <w:p>
      <w:pPr>
        <w:pStyle w:val="af2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сайт адаптирован для просмотра с мобильных устройств;</w:t>
      </w:r>
    </w:p>
    <w:p>
      <w:pPr>
        <w:pStyle w:val="af2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внедрена кнопка для перехода на версию сайта для слабовидящих, которая располагается на главной странице официального сайта;</w:t>
      </w:r>
    </w:p>
    <w:p>
      <w:pPr>
        <w:pStyle w:val="af2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eastAsiaTheme="minorHAnsi"/>
          <w:color w:val="2e74b5" w:themeColor="accent1" w:themeShade="BF"/>
          <w:lang w:val="ru-RU"/>
        </w:rPr>
      </w:pPr>
      <w:r>
        <w:rPr>
          <w:rFonts w:eastAsiaTheme="minorHAnsi"/>
          <w:lang w:val="ru-RU"/>
        </w:rPr>
        <w:t xml:space="preserve">созданы</w:t>
      </w:r>
      <w:r>
        <w:rPr>
          <w:rFonts w:eastAsiaTheme="minorHAnsi"/>
          <w:lang w:val="ru-RU"/>
        </w:rPr>
        <w:t xml:space="preserve"> разделы со способами решения вопросов и размещением информации в соответствии с требованиями действующего законодательства.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lang w:val="ru-RU"/>
        </w:rPr>
      </w:pPr>
      <w:r>
        <w:rPr>
          <w:lang w:val="ru-RU"/>
        </w:rPr>
        <w:t xml:space="preserve">внедрен сервис «чат-бот» на официальном сайте Общества, который позволяет круглосуточно (ежедневно, без выходных и праздничных дней</w:t>
      </w:r>
      <w:r>
        <w:rPr>
          <w:lang w:val="ru-RU"/>
        </w:rPr>
        <w:t xml:space="preserve">) в режиме онлайн-обслуживать клиентов-физических лиц. Виртуальный собеседник обеспечивает диалог с клиентом по основным темам часто задаваемых вопросов, в т.ч. информирование о тарифах на услуги, о балансе счета, прием показаний приборов учета электрическ</w:t>
      </w:r>
      <w:r>
        <w:rPr>
          <w:lang w:val="ru-RU"/>
        </w:rPr>
        <w:t xml:space="preserve">ой энергии, порядок заключения/переоформления договора энергоснабжения и т.д.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lang w:val="ru-RU"/>
        </w:rPr>
      </w:pPr>
      <w:r>
        <w:rPr>
          <w:lang w:val="ru-RU"/>
        </w:rPr>
        <w:t xml:space="preserve">внедрен сервис онлайн-формы «быстрой оплаты» без авторизации (приём платежей без комиссии);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lang w:val="ru-RU"/>
        </w:rPr>
      </w:pPr>
      <w:r>
        <w:rPr>
          <w:lang w:val="ru-RU"/>
        </w:rPr>
        <w:t xml:space="preserve">внедрен сервис онлайн-формы «Предварительная запись на очный приём»;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lang w:val="ru-RU"/>
        </w:rPr>
      </w:pPr>
      <w:r>
        <w:rPr>
          <w:lang w:val="ru-RU"/>
        </w:rPr>
        <w:t xml:space="preserve">внедрен сервис он</w:t>
      </w:r>
      <w:r>
        <w:rPr>
          <w:lang w:val="ru-RU"/>
        </w:rPr>
        <w:t xml:space="preserve">лайн-формы «Заказ коммерческих услуг».</w:t>
      </w:r>
    </w:p>
    <w:p>
      <w:pPr>
        <w:pStyle w:val="af2"/>
        <w:spacing w:after="160" w:line="259" w:lineRule="auto"/>
        <w:ind w:left="426" w:hanging="436"/>
        <w:jc w:val="both"/>
        <w:rPr>
          <w:rFonts w:eastAsiaTheme="minorHAnsi"/>
          <w:color w:val="2e74b5" w:themeColor="accent1" w:themeShade="BF"/>
          <w:lang w:val="ru-RU"/>
        </w:rPr>
      </w:pPr>
    </w:p>
    <w:p>
      <w:pPr>
        <w:pStyle w:val="af2"/>
        <w:numPr>
          <w:numId w:val="6"/>
          <w:ilvl w:val="0"/>
        </w:numPr>
        <w:spacing w:after="160" w:line="259" w:lineRule="auto"/>
        <w:ind w:left="426" w:hanging="436"/>
        <w:jc w:val="both"/>
        <w:rPr>
          <w:rFonts w:eastAsiaTheme="minorHAnsi"/>
        </w:rPr>
      </w:pPr>
      <w:r>
        <w:rPr>
          <w:rFonts w:eastAsiaTheme="minorHAnsi"/>
          <w:b/>
          <w:lang w:val="ru-RU"/>
        </w:rPr>
        <w:t xml:space="preserve">Личный кабинет клиента (ЛКК)</w:t>
      </w:r>
    </w:p>
    <w:p>
      <w:pPr>
        <w:pStyle w:val="af2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Реализован на сайте Общества ЛКК ФЛ и ЛКК ЮЛ;</w:t>
      </w:r>
    </w:p>
    <w:p>
      <w:pPr>
        <w:pStyle w:val="af2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Реализован в мобильном приложении ЛКК ФЛ «Мой Саратовэнерго» и ЛКК ЮЛ «Саратовэнерго»;</w:t>
      </w:r>
    </w:p>
    <w:p>
      <w:pPr>
        <w:pStyle w:val="af2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Предусмотрено размещение информации о перебоях в работе ЛКК;</w:t>
      </w:r>
    </w:p>
    <w:p>
      <w:pPr>
        <w:pStyle w:val="af2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Размещена следующая информация по договору энергоснабжения: реквизиты договора; номер лицевого счета; цена (тариф) по договору; начисления за период; задолженность по оплате электрической энергии</w:t>
      </w:r>
      <w:r>
        <w:rPr>
          <w:rFonts w:eastAsiaTheme="minorHAnsi"/>
          <w:lang w:val="ru-RU"/>
        </w:rPr>
        <w:t xml:space="preserve">; сведения о расчетных (контрольных) приборах учета, </w:t>
      </w:r>
    </w:p>
    <w:p>
      <w:pPr>
        <w:pStyle w:val="af2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eastAsiaTheme="minorHAnsi"/>
        </w:rPr>
      </w:pPr>
      <w:r>
        <w:rPr>
          <w:rFonts w:eastAsiaTheme="minorHAnsi"/>
          <w:lang w:val="ru-RU"/>
        </w:rPr>
        <w:t xml:space="preserve">Сохраняется историчность обращений.</w:t>
      </w:r>
    </w:p>
    <w:p>
      <w:pPr>
        <w:pStyle w:val="af2"/>
        <w:spacing w:after="160" w:line="259" w:lineRule="auto"/>
        <w:ind w:left="0"/>
        <w:jc w:val="both"/>
        <w:rPr>
          <w:rFonts w:eastAsiaTheme="minorHAnsi"/>
        </w:rPr>
      </w:pPr>
    </w:p>
    <w:p>
      <w:pPr>
        <w:pStyle w:val="af2"/>
        <w:spacing w:after="160" w:line="259" w:lineRule="auto"/>
        <w:ind w:left="426"/>
        <w:jc w:val="both"/>
        <w:rPr>
          <w:rFonts w:eastAsiaTheme="minorHAnsi"/>
        </w:rPr>
      </w:pPr>
    </w:p>
    <w:p>
      <w:pPr>
        <w:pStyle w:val="af2"/>
        <w:numPr>
          <w:numId w:val="8"/>
          <w:ilvl w:val="0"/>
        </w:numPr>
        <w:spacing w:after="160" w:line="259" w:lineRule="auto"/>
        <w:ind w:left="426" w:hanging="426"/>
        <w:jc w:val="both"/>
        <w:rPr>
          <w:rFonts w:eastAsiaTheme="minorHAnsi"/>
          <w:b/>
          <w:lang w:val="ru-RU"/>
        </w:rPr>
      </w:pPr>
      <w:r>
        <w:rPr>
          <w:rFonts w:eastAsiaTheme="minorHAnsi"/>
          <w:b/>
          <w:lang w:val="ru-RU"/>
        </w:rPr>
        <w:t xml:space="preserve">Интерактивная система голосового самообслуживания (</w:t>
      </w:r>
      <w:r>
        <w:rPr>
          <w:rFonts w:eastAsiaTheme="minorHAnsi"/>
          <w:b/>
        </w:rPr>
        <w:t xml:space="preserve">IVR</w:t>
      </w:r>
      <w:r>
        <w:rPr>
          <w:rFonts w:eastAsiaTheme="minorHAnsi"/>
          <w:b/>
          <w:lang w:val="ru-RU"/>
        </w:rPr>
        <w:t xml:space="preserve">) для клиентов-физических лиц</w:t>
      </w:r>
    </w:p>
    <w:p>
      <w:pPr>
        <w:spacing w:after="160" w:line="259" w:lineRule="auto"/>
        <w:ind w:firstLine="42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Организовано круглосуточное (ежедневно, без выходных и праздничных дней) обслужи</w:t>
      </w:r>
      <w:r>
        <w:rPr>
          <w:rFonts w:eastAsiaTheme="minorHAnsi"/>
          <w:lang w:val="ru-RU"/>
        </w:rPr>
        <w:t xml:space="preserve">вание клиентов с использованием </w:t>
      </w:r>
      <w:r>
        <w:rPr>
          <w:rFonts w:eastAsiaTheme="minorHAnsi"/>
        </w:rPr>
        <w:t xml:space="preserve">IVR</w:t>
      </w:r>
      <w:r>
        <w:rPr>
          <w:rFonts w:eastAsiaTheme="minorHAnsi"/>
          <w:lang w:val="ru-RU"/>
        </w:rPr>
        <w:t xml:space="preserve"> с информированием по следующим темам:</w:t>
      </w:r>
    </w:p>
    <w:p>
      <w:pPr>
        <w:pStyle w:val="af2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о сумме задолженности по договору энергоснабжения;</w:t>
      </w:r>
    </w:p>
    <w:p>
      <w:pPr>
        <w:pStyle w:val="af2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  <w:lang w:val="ru-RU"/>
        </w:rPr>
        <w:t xml:space="preserve">о тарифах;</w:t>
      </w:r>
    </w:p>
    <w:p>
      <w:pPr>
        <w:pStyle w:val="af2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прием показаний приборов учета электрической энергии;</w:t>
      </w:r>
    </w:p>
    <w:p>
      <w:pPr>
        <w:pStyle w:val="af2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  <w:lang w:val="ru-RU"/>
        </w:rPr>
        <w:t xml:space="preserve">о балансе счета.</w:t>
      </w:r>
    </w:p>
    <w:p>
      <w:pPr>
        <w:pStyle w:val="af2"/>
        <w:spacing w:after="160" w:line="259" w:lineRule="auto"/>
        <w:ind w:left="426"/>
        <w:jc w:val="both"/>
        <w:rPr>
          <w:rFonts w:eastAsiaTheme="minorHAnsi"/>
        </w:rPr>
      </w:pPr>
    </w:p>
    <w:p>
      <w:pPr>
        <w:pStyle w:val="af2"/>
        <w:numPr>
          <w:numId w:val="10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b/>
          <w:lang w:val="ru-RU"/>
        </w:rPr>
        <w:t xml:space="preserve">Аккаунты в социальных сетях</w:t>
      </w:r>
      <w:r>
        <w:rPr>
          <w:rFonts w:eastAsiaTheme="minorHAnsi"/>
          <w:lang w:val="ru-RU"/>
        </w:rPr>
        <w:t xml:space="preserve"> (VK, OK) </w:t>
      </w:r>
    </w:p>
    <w:p>
      <w:pPr>
        <w:pStyle w:val="af2"/>
        <w:numPr>
          <w:numId w:val="11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информирование клиентов по актуальным вопросам и о новостях Компании, в том числе организована информационная рассылка не реже 2-х раз в месяц о необходимости передачи показаний приборов учета, о способах и сроках оплаты, о проводимых акциях и пр. (с </w:t>
      </w:r>
      <w:r>
        <w:rPr>
          <w:color w:val="111111"/>
          <w:lang w:val="ru-RU"/>
        </w:rPr>
        <w:t xml:space="preserve">понед</w:t>
      </w:r>
      <w:r>
        <w:rPr>
          <w:color w:val="111111"/>
          <w:lang w:val="ru-RU"/>
        </w:rPr>
        <w:t xml:space="preserve">ельника по пятницу с 08:00 до 17:00, перерыв с 12:00 до 13:00; выходные – суббота, воскресенье).</w:t>
      </w:r>
    </w:p>
    <w:p>
      <w:pPr>
        <w:pStyle w:val="af2"/>
        <w:spacing w:after="160" w:line="259" w:lineRule="auto"/>
        <w:ind w:left="426"/>
        <w:jc w:val="both"/>
        <w:rPr>
          <w:rFonts w:eastAsiaTheme="minorHAnsi"/>
          <w:lang w:val="ru-RU"/>
        </w:rPr>
      </w:pPr>
    </w:p>
    <w:p>
      <w:pPr>
        <w:pStyle w:val="af2"/>
        <w:numPr>
          <w:numId w:val="12"/>
          <w:ilvl w:val="0"/>
        </w:numPr>
        <w:spacing w:after="160" w:line="259" w:lineRule="auto"/>
        <w:ind w:left="426" w:hanging="426"/>
        <w:jc w:val="both"/>
        <w:rPr>
          <w:rFonts w:eastAsiaTheme="minorHAnsi"/>
          <w:b/>
          <w:lang w:val="ru-RU"/>
        </w:rPr>
      </w:pPr>
      <w:r>
        <w:rPr>
          <w:rFonts w:eastAsiaTheme="minorHAnsi"/>
          <w:b/>
          <w:lang w:val="ru-RU"/>
        </w:rPr>
        <w:t xml:space="preserve">Дистанционное обслуживание клиентов организовано посредством: </w:t>
      </w:r>
    </w:p>
    <w:p>
      <w:pPr>
        <w:pStyle w:val="af2"/>
        <w:numPr>
          <w:numId w:val="13"/>
          <w:ilvl w:val="0"/>
        </w:numPr>
        <w:spacing w:after="160" w:line="259" w:lineRule="auto"/>
        <w:ind w:left="426" w:hanging="426"/>
        <w:jc w:val="both"/>
        <w:rPr>
          <w:lang w:val="ru-RU"/>
        </w:rPr>
      </w:pPr>
      <w:r>
        <w:rPr>
          <w:rFonts w:eastAsiaTheme="minorHAnsi"/>
          <w:b/>
          <w:lang w:val="ru-RU"/>
        </w:rPr>
        <w:t xml:space="preserve">электронной почты </w:t>
      </w:r>
      <w:r>
        <w:rPr>
          <w:rFonts w:eastAsiaTheme="minorHAnsi"/>
          <w:lang w:val="ru-RU"/>
        </w:rPr>
        <w:t xml:space="preserve">для физических лиц: </w:t>
      </w:r>
      <w:hyperlink r:id="rId12" w:tooltip="mailto:se_support@sarenergo.ru" w:history="1">
        <w:r>
          <w:rPr>
            <w:rStyle w:val="af6"/>
          </w:rPr>
          <w:t xml:space="preserve">se</w:t>
        </w:r>
        <w:r>
          <w:rPr>
            <w:rStyle w:val="af6"/>
            <w:lang w:val="ru-RU"/>
          </w:rPr>
          <w:t xml:space="preserve">_</w:t>
        </w:r>
        <w:r>
          <w:rPr>
            <w:rStyle w:val="af6"/>
          </w:rPr>
          <w:t xml:space="preserve">support</w:t>
        </w:r>
        <w:r>
          <w:rPr>
            <w:rStyle w:val="af6"/>
            <w:lang w:val="ru-RU"/>
          </w:rPr>
          <w:t xml:space="preserve">@</w:t>
        </w:r>
        <w:r>
          <w:rPr>
            <w:rStyle w:val="af6"/>
          </w:rPr>
          <w:t xml:space="preserve">sarenergo</w:t>
        </w:r>
        <w:r>
          <w:rPr>
            <w:rStyle w:val="af6"/>
            <w:lang w:val="ru-RU"/>
          </w:rPr>
          <w:t xml:space="preserve">.</w:t>
        </w:r>
        <w:r>
          <w:rPr>
            <w:rStyle w:val="af6"/>
          </w:rPr>
          <w:t xml:space="preserve">ru</w:t>
        </w:r>
      </w:hyperlink>
      <w:r>
        <w:rPr>
          <w:lang w:val="ru-RU"/>
        </w:rPr>
        <w:t xml:space="preserve"> </w:t>
      </w:r>
      <w:r>
        <w:rPr>
          <w:rFonts w:eastAsiaTheme="minorHAnsi"/>
          <w:lang w:val="ru-RU"/>
        </w:rPr>
        <w:t xml:space="preserve">(с </w:t>
      </w:r>
      <w:r>
        <w:rPr>
          <w:color w:val="111111"/>
          <w:lang w:val="ru-RU"/>
        </w:rPr>
        <w:t xml:space="preserve">понедельника по пятницу с 08:00 до 17:00, перерыв с 12:00 до 13:00; выходные – суббота, воскресенье).</w:t>
      </w:r>
    </w:p>
    <w:p>
      <w:pPr>
        <w:pStyle w:val="af2"/>
        <w:numPr>
          <w:numId w:val="13"/>
          <w:ilvl w:val="0"/>
        </w:numPr>
        <w:spacing w:after="160" w:line="259" w:lineRule="auto"/>
        <w:ind w:left="426" w:hanging="426"/>
        <w:jc w:val="both"/>
        <w:rPr>
          <w:rStyle w:val="af6"/>
          <w:sz w:val="21"/>
          <w:szCs w:val="21"/>
          <w:lang w:val="ru-RU"/>
        </w:rPr>
      </w:pPr>
      <w:r>
        <w:rPr>
          <w:rFonts w:eastAsiaTheme="minorHAnsi"/>
          <w:b/>
          <w:lang w:val="ru-RU"/>
        </w:rPr>
        <w:t xml:space="preserve">электронной почты </w:t>
      </w:r>
      <w:r>
        <w:rPr>
          <w:lang w:val="ru-RU"/>
        </w:rPr>
        <w:t xml:space="preserve">для юридических лиц -</w:t>
      </w:r>
      <w:r>
        <w:rPr>
          <w:sz w:val="21"/>
          <w:szCs w:val="21"/>
          <w:lang w:val="ru-RU"/>
        </w:rPr>
        <w:t xml:space="preserve"> </w:t>
      </w:r>
      <w:r>
        <w:rPr>
          <w:rFonts w:eastAsiaTheme="minorHAnsi"/>
          <w:lang w:val="ru-RU"/>
        </w:rPr>
        <w:t xml:space="preserve"> </w:t>
      </w:r>
      <w:hyperlink r:id="rId13" w:tooltip="mailto:office@sarenergo.ru" w:history="1">
        <w:r>
          <w:rPr>
            <w:rStyle w:val="af6"/>
          </w:rPr>
          <w:t xml:space="preserve">office</w:t>
        </w:r>
        <w:r>
          <w:rPr>
            <w:rStyle w:val="af6"/>
            <w:lang w:val="ru-RU"/>
          </w:rPr>
          <w:t xml:space="preserve">@</w:t>
        </w:r>
        <w:r>
          <w:rPr>
            <w:rStyle w:val="af6"/>
          </w:rPr>
          <w:t xml:space="preserve">sarenergo</w:t>
        </w:r>
        <w:r>
          <w:rPr>
            <w:rStyle w:val="af6"/>
            <w:lang w:val="ru-RU"/>
          </w:rPr>
          <w:t xml:space="preserve">.</w:t>
        </w:r>
        <w:r>
          <w:rPr>
            <w:rStyle w:val="af6"/>
          </w:rPr>
          <w:t xml:space="preserve">ru</w:t>
        </w:r>
      </w:hyperlink>
      <w:r>
        <w:rPr>
          <w:lang w:val="ru-RU"/>
        </w:rPr>
        <w:t xml:space="preserve"> </w:t>
      </w:r>
      <w:r>
        <w:rPr>
          <w:rFonts w:eastAsiaTheme="minorHAnsi"/>
          <w:lang w:val="ru-RU"/>
        </w:rPr>
        <w:t xml:space="preserve">(с </w:t>
      </w:r>
      <w:r>
        <w:rPr>
          <w:color w:val="111111"/>
          <w:lang w:val="ru-RU"/>
        </w:rPr>
        <w:t xml:space="preserve">понедельника по пятницу с 08:00 до 17:00, без перерыва; выходные – суббота, воскресенье).</w:t>
      </w:r>
    </w:p>
    <w:p>
      <w:pPr>
        <w:pStyle w:val="af2"/>
        <w:numPr>
          <w:numId w:val="14"/>
          <w:ilvl w:val="0"/>
        </w:numPr>
        <w:spacing w:after="160" w:line="259" w:lineRule="auto"/>
        <w:ind w:left="426" w:hanging="426"/>
        <w:jc w:val="both"/>
        <w:rPr>
          <w:rFonts w:eastAsiaTheme="minorHAnsi"/>
          <w:lang w:val="ru-RU"/>
        </w:rPr>
      </w:pPr>
      <w:r>
        <w:rPr>
          <w:rFonts w:eastAsiaTheme="minorHAnsi"/>
          <w:b/>
          <w:lang w:val="ru-RU"/>
        </w:rPr>
        <w:t xml:space="preserve">по телефону контактного </w:t>
      </w:r>
      <w:bookmarkStart w:id="1" w:name="_Hlk139361552"/>
      <w:r>
        <w:rPr>
          <w:rFonts w:eastAsiaTheme="minorHAnsi"/>
          <w:b/>
          <w:lang w:val="ru-RU"/>
        </w:rPr>
        <w:t xml:space="preserve">центра </w:t>
      </w:r>
      <w:r>
        <w:rPr>
          <w:b/>
          <w:caps/>
          <w:lang w:val="ru-RU"/>
        </w:rPr>
        <w:t xml:space="preserve">8 (8452) 69-45-45</w:t>
      </w:r>
      <w:r>
        <w:rPr>
          <w:b/>
          <w:caps/>
          <w:sz w:val="32"/>
          <w:szCs w:val="32"/>
          <w:lang w:val="ru-RU"/>
        </w:rPr>
        <w:t xml:space="preserve"> </w:t>
      </w:r>
      <w:r>
        <w:rPr>
          <w:rFonts w:eastAsiaTheme="minorHAnsi"/>
          <w:b/>
          <w:lang w:val="ru-RU"/>
        </w:rPr>
        <w:t xml:space="preserve">для физических лиц</w:t>
      </w:r>
      <w:r>
        <w:rPr>
          <w:rFonts w:eastAsiaTheme="minorHAnsi"/>
          <w:lang w:val="ru-RU"/>
        </w:rPr>
        <w:t xml:space="preserve">. Прием вызовов по телефону оператором осуществляется не мене</w:t>
      </w:r>
      <w:r>
        <w:rPr>
          <w:rFonts w:eastAsiaTheme="minorHAnsi"/>
          <w:lang w:val="ru-RU"/>
        </w:rPr>
        <w:t xml:space="preserve">е 10 часов в сутки с понедельника по пятницу с 8:00 до 18:00 по московскому времени, в субботу с 8:00 до 15:00 (кроме официальных нерабочих праздничных дней)</w:t>
      </w:r>
      <w:bookmarkEnd w:id="1"/>
      <w:r>
        <w:rPr>
          <w:rFonts w:eastAsiaTheme="minorHAnsi"/>
          <w:lang w:val="ru-RU"/>
        </w:rPr>
        <w:t xml:space="preserve">.</w:t>
      </w:r>
    </w:p>
    <w:p>
      <w:pPr>
        <w:spacing w:after="160" w:line="259" w:lineRule="auto"/>
        <w:jc w:val="both"/>
        <w:rPr>
          <w:rFonts w:eastAsiaTheme="minorHAnsi"/>
          <w:lang w:val="ru-RU"/>
        </w:rPr>
      </w:pPr>
    </w:p>
    <w:p>
      <w:pPr>
        <w:numPr>
          <w:numId w:val="16"/>
          <w:ilvl w:val="0"/>
        </w:numPr>
        <w:spacing w:line="259" w:lineRule="auto"/>
        <w:ind w:left="714" w:hanging="357"/>
        <w:jc w:val="both"/>
        <w:rPr>
          <w:rFonts w:eastAsiaTheme="minorHAnsi"/>
          <w:lang w:val="ru-RU"/>
        </w:rPr>
      </w:pPr>
      <w:r>
        <w:rPr>
          <w:rFonts w:eastAsiaTheme="minorHAnsi"/>
          <w:bCs/>
          <w:lang w:val="ru-RU"/>
        </w:rPr>
        <w:t xml:space="preserve">В </w:t>
      </w:r>
      <w:r>
        <w:rPr>
          <w:rFonts w:eastAsiaTheme="minorHAnsi"/>
          <w:bCs/>
          <w:lang w:val="ru-RU"/>
        </w:rPr>
        <w:t xml:space="preserve">Энгельсском</w:t>
      </w:r>
      <w:r>
        <w:rPr>
          <w:rFonts w:eastAsiaTheme="minorHAnsi"/>
          <w:bCs/>
          <w:lang w:val="ru-RU"/>
        </w:rPr>
        <w:t xml:space="preserve">, Балаковском, </w:t>
      </w:r>
      <w:r>
        <w:rPr>
          <w:rFonts w:eastAsiaTheme="minorHAnsi"/>
          <w:bCs/>
          <w:lang w:val="ru-RU"/>
        </w:rPr>
        <w:t xml:space="preserve">Балашовском</w:t>
      </w:r>
      <w:r>
        <w:rPr>
          <w:rFonts w:eastAsiaTheme="minorHAnsi"/>
          <w:bCs/>
          <w:lang w:val="ru-RU"/>
        </w:rPr>
        <w:t xml:space="preserve">, Саратовском, Пугачевском, Вольском, Петровском офисах о</w:t>
      </w:r>
      <w:r>
        <w:rPr>
          <w:rFonts w:eastAsiaTheme="minorHAnsi"/>
          <w:bCs/>
          <w:lang w:val="ru-RU"/>
        </w:rPr>
        <w:t xml:space="preserve">бслуживания установлены терминалы электронной очереди.</w:t>
      </w:r>
    </w:p>
    <w:p>
      <w:pPr>
        <w:numPr>
          <w:numId w:val="16"/>
          <w:ilvl w:val="0"/>
        </w:numPr>
        <w:spacing w:line="259" w:lineRule="auto"/>
        <w:ind w:left="714" w:hanging="357"/>
        <w:jc w:val="both"/>
        <w:rPr>
          <w:rFonts w:eastAsiaTheme="minorHAnsi"/>
          <w:lang w:val="ru-RU"/>
        </w:rPr>
      </w:pPr>
      <w:r>
        <w:rPr>
          <w:rFonts w:eastAsiaTheme="minorHAnsi"/>
          <w:bCs/>
          <w:lang w:val="ru-RU"/>
        </w:rPr>
        <w:t xml:space="preserve">На территории </w:t>
      </w:r>
      <w:r>
        <w:rPr>
          <w:rFonts w:eastAsiaTheme="minorHAnsi"/>
          <w:bCs/>
          <w:lang w:val="ru-RU"/>
        </w:rPr>
        <w:t xml:space="preserve">Балашовского</w:t>
      </w:r>
      <w:r>
        <w:rPr>
          <w:rFonts w:eastAsiaTheme="minorHAnsi"/>
          <w:bCs/>
          <w:lang w:val="ru-RU"/>
        </w:rPr>
        <w:t xml:space="preserve"> и </w:t>
      </w:r>
      <w:r>
        <w:rPr>
          <w:rFonts w:eastAsiaTheme="minorHAnsi"/>
          <w:bCs/>
          <w:lang w:val="ru-RU"/>
        </w:rPr>
        <w:t xml:space="preserve">Энгельсского</w:t>
      </w:r>
      <w:r>
        <w:rPr>
          <w:rFonts w:eastAsiaTheme="minorHAnsi"/>
          <w:bCs/>
          <w:lang w:val="ru-RU"/>
        </w:rPr>
        <w:t xml:space="preserve"> ЦО ФЛ установлены аппараты онлайн видео консультант «АСВК».</w:t>
      </w:r>
    </w:p>
    <w:p>
      <w:pPr>
        <w:numPr>
          <w:numId w:val="16"/>
          <w:ilvl w:val="0"/>
        </w:numPr>
        <w:spacing w:line="259" w:lineRule="auto"/>
        <w:ind w:left="714" w:hanging="357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Ежемесячно в системе СУВК регистрируется более 40 000 обращений клиентов ФЛ. </w:t>
      </w:r>
    </w:p>
    <w:p>
      <w:pPr>
        <w:numPr>
          <w:numId w:val="16"/>
          <w:ilvl w:val="0"/>
        </w:numPr>
        <w:spacing w:line="259" w:lineRule="auto"/>
        <w:ind w:left="714" w:hanging="357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Ежемесячно в системе CRM регистрируется более 2000 обращений клиентов ЮЛ.</w:t>
      </w:r>
    </w:p>
    <w:p>
      <w:pPr>
        <w:numPr>
          <w:numId w:val="16"/>
          <w:ilvl w:val="0"/>
        </w:numPr>
        <w:spacing w:line="259" w:lineRule="auto"/>
        <w:ind w:left="714" w:hanging="357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Обеспечен переход на регистрацию всех обращений клиентов сегмента В2С/B2B в системе СУВК/CRM.</w:t>
      </w:r>
    </w:p>
    <w:p>
      <w:pPr>
        <w:spacing w:after="160" w:line="259" w:lineRule="auto"/>
        <w:ind w:left="360"/>
        <w:jc w:val="both"/>
        <w:rPr>
          <w:rFonts w:eastAsiaTheme="minorHAnsi"/>
          <w:b/>
          <w:bCs/>
          <w:lang w:val="ru-RU"/>
        </w:rPr>
      </w:pPr>
    </w:p>
    <w:p>
      <w:pPr>
        <w:pStyle w:val="af2"/>
        <w:numPr>
          <w:numId w:val="18"/>
          <w:ilvl w:val="0"/>
        </w:numPr>
        <w:spacing w:after="160" w:line="259" w:lineRule="auto"/>
        <w:jc w:val="both"/>
        <w:rPr>
          <w:rFonts w:eastAsiaTheme="minorHAnsi"/>
        </w:rPr>
      </w:pPr>
      <w:r>
        <w:rPr>
          <w:rFonts w:eastAsiaTheme="minorHAnsi"/>
          <w:b/>
          <w:bCs/>
          <w:lang w:val="ru-RU"/>
        </w:rPr>
        <w:t xml:space="preserve">Обслуживание по телефону:</w:t>
      </w:r>
    </w:p>
    <w:p>
      <w:pPr>
        <w:numPr>
          <w:numId w:val="16"/>
          <w:ilvl w:val="0"/>
        </w:numPr>
        <w:spacing w:after="160" w:line="259" w:lineRule="auto"/>
        <w:jc w:val="both"/>
        <w:rPr>
          <w:rFonts w:eastAsiaTheme="minorHAnsi"/>
          <w:bCs/>
        </w:rPr>
      </w:pPr>
      <w:r>
        <w:rPr>
          <w:rFonts w:eastAsiaTheme="minorHAnsi"/>
          <w:bCs/>
          <w:lang w:val="ru-RU"/>
        </w:rPr>
        <w:t xml:space="preserve">Между ПАО «Саратовэнерго» и АО «Мосэнергосбыт» заключен договор на оказание услуг по заочному обслуживанию клиентов Общества (ОКЦ). В рамках данного договора осуществляется: </w:t>
      </w:r>
    </w:p>
    <w:p>
      <w:pPr>
        <w:pStyle w:val="af2"/>
        <w:numPr>
          <w:numId w:val="17"/>
          <w:ilvl w:val="0"/>
        </w:numPr>
        <w:spacing w:after="160" w:line="259" w:lineRule="auto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Прием звонков от клиентов ФЛ;</w:t>
      </w:r>
    </w:p>
    <w:p>
      <w:pPr>
        <w:pStyle w:val="af2"/>
        <w:numPr>
          <w:numId w:val="17"/>
          <w:ilvl w:val="0"/>
        </w:numPr>
        <w:spacing w:after="160" w:line="259" w:lineRule="auto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Информирование клиентов должников по средствам Робо</w:t>
      </w:r>
      <w:r>
        <w:rPr>
          <w:rFonts w:eastAsiaTheme="minorHAnsi"/>
          <w:bCs/>
          <w:lang w:val="ru-RU"/>
        </w:rPr>
        <w:t xml:space="preserve">та-коллектора;</w:t>
      </w:r>
    </w:p>
    <w:p>
      <w:pPr>
        <w:pStyle w:val="af2"/>
        <w:numPr>
          <w:numId w:val="17"/>
          <w:ilvl w:val="0"/>
        </w:numPr>
        <w:spacing w:after="160" w:line="259" w:lineRule="auto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Информирование клиентов должников по средствам Ручного обзвона (ОКЦ);</w:t>
      </w:r>
    </w:p>
    <w:p>
      <w:pPr>
        <w:pStyle w:val="af2"/>
        <w:numPr>
          <w:numId w:val="17"/>
          <w:ilvl w:val="0"/>
        </w:numPr>
        <w:spacing w:after="160" w:line="259" w:lineRule="auto"/>
        <w:jc w:val="both"/>
        <w:rPr>
          <w:rFonts w:eastAsiaTheme="minorHAnsi"/>
          <w:bCs/>
        </w:rPr>
      </w:pPr>
      <w:r>
        <w:rPr>
          <w:rFonts w:eastAsiaTheme="minorHAnsi"/>
          <w:bCs/>
          <w:lang w:val="ru-RU"/>
        </w:rPr>
        <w:t xml:space="preserve">Автоинформирование</w:t>
      </w:r>
      <w:r>
        <w:rPr>
          <w:rFonts w:eastAsiaTheme="minorHAnsi"/>
          <w:bCs/>
          <w:lang w:val="ru-RU"/>
        </w:rPr>
        <w:t xml:space="preserve"> клиентов должников.</w:t>
      </w:r>
    </w:p>
    <w:p>
      <w:pPr>
        <w:spacing w:after="160" w:line="259" w:lineRule="auto"/>
        <w:jc w:val="both"/>
        <w:rPr>
          <w:rFonts w:eastAsiaTheme="minorHAnsi"/>
          <w:lang w:val="ru-RU"/>
        </w:rPr>
      </w:pPr>
      <w:r>
        <w:rPr>
          <w:rFonts w:ascii="Liberation Serif" w:hAnsi="Liberation Serif" w:cs="Liberation Serif" w:eastAsiaTheme="minorHAnsi"/>
          <w:b/>
          <w:color w:val="000000" w:themeColor="text1"/>
          <w:lang w:val="ru-RU"/>
        </w:rPr>
        <w:t xml:space="preserve">И</w:t>
      </w:r>
      <w:r>
        <w:rPr>
          <w:rFonts w:ascii="Liberation Serif" w:hAnsi="Liberation Serif" w:cs="Liberation Serif" w:eastAsiaTheme="minorHAnsi"/>
          <w:b/>
          <w:color w:val="000000" w:themeColor="text1"/>
          <w:lang w:val="ru-RU"/>
        </w:rPr>
        <w:t xml:space="preserve">нформация о количестве поступивших обращений клиентов ПАО "Саратовэнерго" по всем каналам коммуникаций за 2025год</w:t>
      </w:r>
    </w:p>
    <w:tbl>
      <w:tblPr>
        <w:tblW w:w="155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409"/>
        <w:gridCol w:w="2028"/>
        <w:gridCol w:w="1886"/>
        <w:gridCol w:w="2229"/>
        <w:gridCol w:w="2076"/>
        <w:gridCol w:w="2720"/>
        <w:gridCol w:w="2243"/>
      </w:tblGrid>
      <w:tr>
        <w:trPr>
          <w:trHeight w:val="1425"/>
        </w:trPr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Клиенты </w:t>
            </w:r>
          </w:p>
        </w:tc>
        <w:tc>
          <w:tcPr>
            <w:tcW w:w="2028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Очное обслуживание</w:t>
            </w:r>
          </w:p>
        </w:tc>
        <w:tc>
          <w:tcPr>
            <w:tcW w:w="1886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Обслуживание по телефону</w:t>
            </w:r>
          </w:p>
        </w:tc>
        <w:tc>
          <w:tcPr>
            <w:tcW w:w="2229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Обслуживание через интернет (ЛКК, сайт,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эл.почта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, соцсети и мессенджеры, ЭДО)</w:t>
            </w:r>
          </w:p>
        </w:tc>
        <w:tc>
          <w:tcPr>
            <w:tcW w:w="2076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Обслуживание письменных обращений (на бумажном носителе)</w:t>
            </w:r>
          </w:p>
        </w:tc>
        <w:tc>
          <w:tcPr>
            <w:tcW w:w="2720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Всего количество обращений клиентов по всем каналам коммуникаций</w:t>
            </w:r>
          </w:p>
        </w:tc>
        <w:tc>
          <w:tcPr>
            <w:tcW w:w="2243" w:type="dxa"/>
            <w:tcBorders>
              <w:top w:val="singl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в том числе количество поступивших жалоб на качество пос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тавляемой электрической энергии</w:t>
            </w:r>
          </w:p>
        </w:tc>
      </w:tr>
      <w:tr>
        <w:trPr>
          <w:trHeight w:val="765"/>
        </w:trPr>
        <w:tc>
          <w:tcPr>
            <w:tcW w:w="2409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val="ru-RU" w:eastAsia="ru-RU"/>
              </w:rPr>
              <w:t xml:space="preserve">ФИЗИЧЕСКИЕ ЛИЦА (ФЛ, В2С</w:t>
            </w:r>
            <w:r>
              <w:rPr>
                <w:rFonts w:ascii="Liberation Serif" w:hAnsi="Liberation Serif" w:eastAsia="Liberation Serif" w:cs="Liberation Serif"/>
                <w:lang w:val="ru-RU" w:eastAsia="ru-RU"/>
              </w:rPr>
              <w:t xml:space="preserve">)</w:t>
            </w:r>
          </w:p>
        </w:tc>
        <w:tc>
          <w:tcPr>
            <w:tcW w:w="2028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466183</w:t>
            </w:r>
          </w:p>
        </w:tc>
        <w:tc>
          <w:tcPr>
            <w:tcW w:w="188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spacing w:line="57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197476</w:t>
            </w:r>
          </w:p>
        </w:tc>
        <w:tc>
          <w:tcPr>
            <w:tcW w:w="222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30376</w:t>
            </w:r>
          </w:p>
        </w:tc>
        <w:tc>
          <w:tcPr>
            <w:tcW w:w="207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5605</w:t>
            </w:r>
          </w:p>
        </w:tc>
        <w:tc>
          <w:tcPr>
            <w:tcW w:w="2720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699640</w:t>
            </w:r>
          </w:p>
          <w:p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43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e2efda"/>
            <w:vAlign w:val="center"/>
          </w:tcPr>
          <w:p>
            <w:pPr>
              <w:jc w:val="center"/>
            </w:pPr>
            <w:r>
              <w:t xml:space="preserve">32</w:t>
            </w:r>
          </w:p>
        </w:tc>
      </w:tr>
      <w:tr>
        <w:trPr>
          <w:trHeight w:val="860"/>
        </w:trPr>
        <w:tc>
          <w:tcPr>
            <w:tcW w:w="2409" w:type="dxa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val="ru-RU" w:eastAsia="ru-RU"/>
              </w:rPr>
              <w:t xml:space="preserve">ЮРИДИЧЕСКИЕ ЛИЦА (ЮЛ, В2В)</w:t>
            </w:r>
          </w:p>
        </w:tc>
        <w:tc>
          <w:tcPr>
            <w:tcW w:w="2028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13555</w:t>
            </w:r>
          </w:p>
        </w:tc>
        <w:tc>
          <w:tcPr>
            <w:tcW w:w="188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2935</w:t>
            </w:r>
          </w:p>
        </w:tc>
        <w:tc>
          <w:tcPr>
            <w:tcW w:w="2229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3305</w:t>
            </w:r>
          </w:p>
        </w:tc>
        <w:tc>
          <w:tcPr>
            <w:tcW w:w="2076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5</w:t>
            </w:r>
          </w:p>
        </w:tc>
        <w:tc>
          <w:tcPr>
            <w:tcW w:w="2720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19800</w:t>
            </w:r>
          </w:p>
        </w:tc>
        <w:tc>
          <w:tcPr>
            <w:tcW w:w="2243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2cc"/>
            <w:vAlign w:val="center"/>
          </w:tcPr>
          <w:p>
            <w:pPr>
              <w:jc w:val="center"/>
            </w:pPr>
            <w:r>
              <w:t xml:space="preserve">1</w:t>
            </w:r>
          </w:p>
        </w:tc>
      </w:tr>
      <w:tr>
        <w:trPr>
          <w:trHeight w:val="841"/>
        </w:trPr>
        <w:tc>
          <w:tcPr>
            <w:tcW w:w="2409" w:type="dxa"/>
            <w:tcBorders>
              <w:top w:val="non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Всего</w:t>
            </w:r>
          </w:p>
        </w:tc>
        <w:tc>
          <w:tcPr>
            <w:tcW w:w="2028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479738</w:t>
            </w:r>
          </w:p>
        </w:tc>
        <w:tc>
          <w:tcPr>
            <w:tcW w:w="1886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200411</w:t>
            </w:r>
          </w:p>
        </w:tc>
        <w:tc>
          <w:tcPr>
            <w:tcW w:w="2229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33681</w:t>
            </w:r>
          </w:p>
        </w:tc>
        <w:tc>
          <w:tcPr>
            <w:tcW w:w="2076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5610</w:t>
            </w:r>
          </w:p>
        </w:tc>
        <w:tc>
          <w:tcPr>
            <w:tcW w:w="2720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719440</w:t>
            </w:r>
          </w:p>
        </w:tc>
        <w:tc>
          <w:tcPr>
            <w:tcW w:w="2243" w:type="dxa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4" w:space="0"/>
            </w:tcBorders>
            <w:shd w:val="clear" w:color="ffffff" w:fill="ffffff"/>
          </w:tcPr>
          <w:p>
            <w:pPr>
              <w:jc w:val="center"/>
            </w:pPr>
          </w:p>
          <w:p>
            <w:pPr>
              <w:jc w:val="center"/>
            </w:pPr>
            <w:r>
              <w:t xml:space="preserve">33</w:t>
            </w:r>
          </w:p>
        </w:tc>
      </w:tr>
    </w:tbl>
    <w:p>
      <w:pPr>
        <w:jc w:val="both"/>
        <w:rPr>
          <w:b/>
          <w:bCs/>
          <w:lang w:val="ru-RU"/>
        </w:rPr>
      </w:pPr>
    </w:p>
    <w:p>
      <w:pPr>
        <w:shd w:val="clear" w:color="ffffff" w:themeColor="background1" w:fill="ffffff" w:themeFill="background1"/>
        <w:ind w:firstLine="709"/>
        <w:contextualSpacing/>
        <w:jc w:val="both"/>
        <w:rPr>
          <w:lang w:val="ru-RU"/>
        </w:rPr>
      </w:pPr>
      <w:r>
        <w:rPr>
          <w:lang w:val="ru-RU"/>
        </w:rPr>
        <w:t xml:space="preserve">Таблица</w:t>
      </w:r>
      <w:r>
        <w:rPr>
          <w:lang w:val="ru-RU"/>
        </w:rPr>
        <w:t xml:space="preserve">:</w:t>
      </w:r>
      <w:r>
        <w:rPr>
          <w:lang w:val="ru-RU"/>
        </w:rPr>
        <w:t xml:space="preserve"> План мероприятий по повышению качества обслуживания</w:t>
      </w:r>
    </w:p>
    <w:p>
      <w:pPr>
        <w:ind w:firstLine="709"/>
        <w:contextualSpacing/>
        <w:jc w:val="right"/>
        <w:rPr>
          <w:lang w:val="ru-RU"/>
        </w:rPr>
      </w:pPr>
    </w:p>
    <w:tbl>
      <w:tblPr>
        <w:tblStyle w:val="aff8"/>
        <w:tblW w:w="157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84"/>
        <w:gridCol w:w="2693"/>
        <w:gridCol w:w="2835"/>
        <w:gridCol w:w="1558"/>
        <w:gridCol w:w="7795"/>
      </w:tblGrid>
      <w:tr>
        <w:tc>
          <w:tcPr>
            <w:tcW w:w="884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</w:p>
        </w:tc>
        <w:tc>
          <w:tcPr>
            <w:tcW w:w="2693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Предложения</w:t>
            </w:r>
          </w:p>
        </w:tc>
        <w:tc>
          <w:tcPr>
            <w:tcW w:w="2835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Мероприятия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Срок</w:t>
            </w:r>
            <w:r>
              <w:rPr>
                <w:b/>
              </w:rPr>
              <w:t xml:space="preserve"> </w:t>
            </w:r>
          </w:p>
        </w:tc>
        <w:tc>
          <w:tcPr>
            <w:tcW w:w="7795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Результат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</w:p>
        </w:tc>
        <w:tc>
          <w:tcPr>
            <w:tcW w:w="2693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</w:p>
        </w:tc>
        <w:tc>
          <w:tcPr>
            <w:tcW w:w="2835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</w:p>
        </w:tc>
        <w:tc>
          <w:tcPr>
            <w:tcW w:w="1558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</w:p>
        </w:tc>
        <w:tc>
          <w:tcPr>
            <w:tcW w:w="7795" w:type="dxa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</w:p>
        </w:tc>
      </w:tr>
      <w:tr>
        <w:tc>
          <w:tcPr>
            <w:tcW w:w="884" w:type="dxa"/>
            <w:shd w:val="clear" w:color="ffffff" w:fill="deeaf6" w:themeFill="accent1" w:themeFillTint="33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</w:t>
            </w:r>
          </w:p>
        </w:tc>
        <w:tc>
          <w:tcPr>
            <w:tcW w:w="14881" w:type="dxa"/>
            <w:gridSpan w:val="4"/>
            <w:shd w:val="clear" w:color="ffffff" w:fill="deeaf6" w:themeFill="accent1" w:themeFillTint="33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Очное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обслуживание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1.1.</w:t>
            </w:r>
          </w:p>
        </w:tc>
        <w:tc>
          <w:tcPr>
            <w:tcW w:w="14881" w:type="dxa"/>
            <w:gridSpan w:val="4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Офис </w:t>
            </w:r>
            <w:r>
              <w:rPr>
                <w:b/>
                <w:bCs/>
              </w:rPr>
              <w:t xml:space="preserve">обслуживания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клиентов</w:t>
            </w:r>
            <w:r>
              <w:rPr>
                <w:b/>
                <w:bCs/>
              </w:rPr>
              <w:t xml:space="preserve"> В2В</w:t>
            </w:r>
          </w:p>
        </w:tc>
      </w:tr>
      <w:t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1.1.1</w:t>
            </w:r>
          </w:p>
          <w:p>
            <w:pPr>
              <w:contextualSpacing/>
              <w:jc w:val="both"/>
              <w:rPr>
                <w:highlight w:val="white"/>
              </w:rPr>
            </w:pPr>
          </w:p>
        </w:tc>
        <w:tc>
          <w:tcPr>
            <w:tcW w:w="2693" w:type="dxa"/>
            <w:vMerge w:val="restart"/>
          </w:tcPr>
          <w:p>
            <w:pPr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Развитие сервисов и повышение удобства очного обслуживания</w:t>
            </w:r>
            <w:r>
              <w:rPr>
                <w:lang w:val="ru-RU"/>
              </w:rPr>
              <w:t xml:space="preserve"> клиентов</w:t>
            </w:r>
          </w:p>
          <w:p>
            <w:pPr>
              <w:rPr>
                <w:highlight w:val="white"/>
                <w:lang w:val="ru-RU"/>
              </w:rPr>
            </w:pPr>
          </w:p>
        </w:tc>
        <w:tc>
          <w:tcPr>
            <w:tcW w:w="2835" w:type="dxa"/>
          </w:tcPr>
          <w:p>
            <w:pPr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Установка терминалов электронной очереди </w:t>
            </w:r>
          </w:p>
        </w:tc>
        <w:tc>
          <w:tcPr>
            <w:tcW w:w="1558" w:type="dxa"/>
          </w:tcPr>
          <w:p>
            <w:pPr>
              <w:contextualSpacing/>
              <w:jc w:val="both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31.12.2025</w:t>
            </w:r>
          </w:p>
        </w:tc>
        <w:tc>
          <w:tcPr>
            <w:tcW w:w="7795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 рамках договора приобретения электронной системы управления очередью от 13.05.2025 №Э/Д/СЭ/06/03/3518/25-209 сервис электронной очереди внедрен в Правобережном МРО. Установка терминала в Заволжском МРО</w:t>
            </w:r>
            <w:r>
              <w:rPr>
                <w:lang w:val="ru-RU"/>
              </w:rPr>
              <w:t xml:space="preserve"> перенесена на 2026.</w:t>
            </w:r>
          </w:p>
        </w:tc>
      </w:tr>
      <w:tr>
        <w:tc>
          <w:tcPr>
            <w:tcW w:w="884" w:type="dxa"/>
            <w:vMerge w:val="continue"/>
          </w:tcPr>
          <w:p>
            <w:pPr>
              <w:contextualSpacing/>
              <w:jc w:val="both"/>
              <w:rPr>
                <w:highlight w:val="white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highlight w:val="white"/>
                <w:lang w:val="ru-RU"/>
              </w:rPr>
            </w:pPr>
          </w:p>
        </w:tc>
        <w:tc>
          <w:tcPr>
            <w:tcW w:w="2835" w:type="dxa"/>
          </w:tcPr>
          <w:p>
            <w:pPr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Внедрение сервиса предварительной записи на очный прием </w:t>
            </w:r>
          </w:p>
        </w:tc>
        <w:tc>
          <w:tcPr>
            <w:tcW w:w="1558" w:type="dxa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31.12.2025</w:t>
            </w:r>
          </w:p>
          <w:p>
            <w:pPr>
              <w:contextualSpacing/>
              <w:jc w:val="both"/>
            </w:pPr>
          </w:p>
        </w:tc>
        <w:tc>
          <w:tcPr>
            <w:tcW w:w="7795" w:type="dxa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Возможность для клиента записаться на очное обслуживание удаленно на удобное время при наличии в МРО терминала электронной очереди не реализовано. </w:t>
            </w:r>
            <w:r>
              <w:rPr>
                <w:lang w:val="ru-RU"/>
              </w:rPr>
              <w:t xml:space="preserve">Централизованное ЗНИ в части интеграции с ИС Электронной очереди (СУЭО)» находится на стадии согласования.</w:t>
            </w:r>
          </w:p>
        </w:tc>
      </w:tr>
      <w:tr>
        <w:trPr>
          <w:trHeight w:val="1580"/>
        </w:trPr>
        <w:tc>
          <w:tcPr>
            <w:tcW w:w="884" w:type="dxa"/>
            <w:vMerge w:val="continue"/>
          </w:tcPr>
          <w:p>
            <w:pPr>
              <w:contextualSpacing/>
              <w:jc w:val="both"/>
              <w:rPr>
                <w:highlight w:val="white"/>
                <w:lang w:val="ru-RU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highlight w:val="white"/>
                <w:lang w:val="ru-RU"/>
              </w:rPr>
            </w:pPr>
          </w:p>
        </w:tc>
        <w:tc>
          <w:tcPr>
            <w:tcW w:w="2835" w:type="dxa"/>
          </w:tcPr>
          <w:p>
            <w:pPr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Внедрение цифрового сервиса опроса оценки качества. (Установка на рабочих местах «кнопки оценки качества обслуживания»)</w:t>
            </w:r>
          </w:p>
        </w:tc>
        <w:tc>
          <w:tcPr>
            <w:tcW w:w="1558" w:type="dxa"/>
          </w:tcPr>
          <w:p>
            <w:pPr>
              <w:contextualSpacing/>
              <w:jc w:val="both"/>
              <w:rPr>
                <w:highlight w:val="white"/>
              </w:rPr>
            </w:pPr>
            <w:r>
              <w:t xml:space="preserve">31</w:t>
            </w:r>
            <w:r>
              <w:rPr>
                <w:highlight w:val="white"/>
              </w:rPr>
              <w:t xml:space="preserve">.12.2025</w:t>
            </w:r>
          </w:p>
        </w:tc>
        <w:tc>
          <w:tcPr>
            <w:tcW w:w="7795" w:type="dxa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Функционал оцен</w:t>
            </w:r>
            <w:r>
              <w:rPr>
                <w:lang w:val="ru-RU"/>
              </w:rPr>
              <w:t xml:space="preserve">ки качества обслуживания клиентов через систему электронной очереди на данный момент не реализован, находится в работе. Для внедрения системы оценки качества обслуживания и удовлетворенности клиентов с использованием планшетов было направлено функционально</w:t>
            </w:r>
            <w:r>
              <w:rPr>
                <w:lang w:val="ru-RU"/>
              </w:rPr>
              <w:t xml:space="preserve">е задание в адрес </w:t>
            </w:r>
            <w:r>
              <w:rPr>
                <w:lang w:val="ru-RU"/>
              </w:rPr>
              <w:t xml:space="preserve">Альфаматик</w:t>
            </w:r>
            <w:r>
              <w:rPr>
                <w:lang w:val="ru-RU"/>
              </w:rPr>
              <w:t xml:space="preserve">, на размещение материалов на планшетах в ТП.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</w:pPr>
            <w:r>
              <w:t xml:space="preserve">1.1.2</w:t>
            </w:r>
          </w:p>
        </w:tc>
        <w:tc>
          <w:tcPr>
            <w:tcW w:w="2693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Для повышения уровня качества обработки обращений по заключению договора в ПАО «Саратовэнерго» выпущены следующие распорядительные документы:</w:t>
            </w:r>
          </w:p>
          <w:p>
            <w:pPr>
              <w:pStyle w:val="af2"/>
              <w:numPr>
                <w:numId w:val="31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№СЭ/458 от 30.05.2025 «О введении в действие регламента взаимодействия структурных подразделений ПАО «Саратовэнерг</w:t>
            </w:r>
            <w:r>
              <w:rPr>
                <w:lang w:val="ru-RU"/>
              </w:rPr>
              <w:t xml:space="preserve">о» по энергосбытовой и прочей деятельности”;</w:t>
            </w:r>
          </w:p>
          <w:p>
            <w:pPr>
              <w:pStyle w:val="af2"/>
              <w:numPr>
                <w:numId w:val="31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№СЭ/403-р от 23.07.2025 "О заключении прямых договоров с гражданами — членами СНТ»;</w:t>
            </w:r>
          </w:p>
          <w:p>
            <w:pPr>
              <w:pStyle w:val="af2"/>
              <w:numPr>
                <w:numId w:val="31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№СЭ/123 от 17.02.2025 "О контроле сроков соблюдения заключения договоров";</w:t>
            </w:r>
          </w:p>
          <w:p>
            <w:pPr>
              <w:pStyle w:val="af2"/>
              <w:numPr>
                <w:numId w:val="31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 СЭ/461 от 30.05.2025 "Об утверждении порядка работ</w:t>
            </w:r>
            <w:r>
              <w:rPr>
                <w:lang w:val="ru-RU"/>
              </w:rPr>
              <w:t xml:space="preserve">ы с обращениями в модуле CRM ЮЛ".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</w:pPr>
            <w:r>
              <w:t xml:space="preserve">1.1.3</w:t>
            </w:r>
          </w:p>
        </w:tc>
        <w:tc>
          <w:tcPr>
            <w:tcW w:w="2693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Привести к единообразию подход к наполнению информацией для клиентов в МРО, подход к размещению информационных объявлений, оформлению стендов, способам оформления, табличкам.</w:t>
            </w:r>
          </w:p>
        </w:tc>
        <w:tc>
          <w:tcPr>
            <w:tcW w:w="283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Снижение потребительских усилий при посе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щении офиса очного обслуживания клиентов в рамках исполнения требований Стандарта качества обслуживания клиентов</w:t>
            </w:r>
          </w:p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color w:val="000000"/>
                <w:lang w:val="ru-RU"/>
              </w:rPr>
              <w:t xml:space="preserve">Для приведения к единообразию подхода к наполнению информацией для клиентов в МРО,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подхода к размещению информационных объявлений, оформлению стендов, способам оформления, табличкам в ПАО «Саратовэнерго» выпущен распорядительный документ №СЭ/263-р от 07.05.2025 "Об оснащенности территориальных подразделений ПАО «Саратовэнерго» обязательн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ыми информационными материалами и атрибутами внутренней информационной доступности для очного обслуживании клиентов". </w:t>
            </w:r>
            <w:r>
              <w:rPr>
                <w:color w:val="000000"/>
                <w:lang w:val="ru-RU"/>
              </w:rPr>
              <w:t xml:space="preserve">Контроль осуществляется в рамках распорядительных документов СЭ/214 от 11.03.2025 “Об утверждении Положения по контролю исполнительской ди</w:t>
            </w:r>
            <w:r>
              <w:rPr>
                <w:color w:val="000000"/>
                <w:lang w:val="ru-RU"/>
              </w:rPr>
              <w:t xml:space="preserve">сциплины” и СЭ/483 от 06.06.2025 “О внесении изменений в приказ от 11.03.2025 №СЭ/214”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1.2.</w:t>
            </w:r>
          </w:p>
        </w:tc>
        <w:tc>
          <w:tcPr>
            <w:tcW w:w="14881" w:type="dxa"/>
            <w:gridSpan w:val="4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Офис </w:t>
            </w:r>
            <w:r>
              <w:rPr>
                <w:b/>
                <w:bCs/>
              </w:rPr>
              <w:t xml:space="preserve">обслуживания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клиентов</w:t>
            </w:r>
            <w:r>
              <w:rPr>
                <w:b/>
                <w:bCs/>
              </w:rPr>
              <w:t xml:space="preserve"> В2С</w:t>
            </w:r>
          </w:p>
        </w:tc>
      </w:tr>
      <w:tr>
        <w:tc>
          <w:tcPr>
            <w:tcW w:w="884" w:type="dxa"/>
            <w:vMerge w:val="restart"/>
            <w:shd w:val="clear" w:color="ffffff" w:fill="ffffff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1.2.1</w:t>
            </w:r>
          </w:p>
          <w:p>
            <w:pPr>
              <w:contextualSpacing/>
              <w:jc w:val="both"/>
            </w:pPr>
          </w:p>
        </w:tc>
        <w:tc>
          <w:tcPr>
            <w:tcW w:w="2693" w:type="dxa"/>
            <w:vMerge w:val="restart"/>
            <w:shd w:val="clear" w:color="ffffff" w:fill="ffffff"/>
          </w:tcPr>
          <w:p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Развитие сервисов и повышение удобства очного обслуживания клиентов</w:t>
            </w:r>
          </w:p>
          <w:p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Провести интеграцию предварительной записи на сайте Обще</w:t>
            </w:r>
            <w:r>
              <w:rPr>
                <w:lang w:val="ru-RU"/>
              </w:rPr>
              <w:t xml:space="preserve">ства с системой электронной очереди</w:t>
            </w:r>
          </w:p>
        </w:tc>
        <w:tc>
          <w:tcPr>
            <w:tcW w:w="2835" w:type="dxa"/>
            <w:shd w:val="clear" w:color="ffffff" w:fill="ffffff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Установка терминалов электронной очереди</w:t>
            </w:r>
          </w:p>
        </w:tc>
        <w:tc>
          <w:tcPr>
            <w:tcW w:w="1558" w:type="dxa"/>
            <w:shd w:val="clear" w:color="ffffff" w:fill="ffffff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31.12.2025</w:t>
            </w:r>
          </w:p>
        </w:tc>
        <w:tc>
          <w:tcPr>
            <w:tcW w:w="7795" w:type="dxa"/>
            <w:shd w:val="clear" w:color="ffffff" w:fill="ffffff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 рамках договора приобретения электронной системы управления очередью от 13.05.2025 №Э/Д/СЭ/06/03/3518/25-209, установка терминалов осуществлена в 4 территориальных подразделениях (ГРП Красноармейского р-на, ЦО ФЛ </w:t>
            </w:r>
            <w:r>
              <w:rPr>
                <w:lang w:val="ru-RU"/>
              </w:rPr>
              <w:t xml:space="preserve">Марксовского</w:t>
            </w:r>
            <w:r>
              <w:rPr>
                <w:lang w:val="ru-RU"/>
              </w:rPr>
              <w:t xml:space="preserve"> р-на, ГРП ФЛ </w:t>
            </w:r>
            <w:r>
              <w:rPr>
                <w:lang w:val="ru-RU"/>
              </w:rPr>
              <w:t xml:space="preserve">Ртищевского</w:t>
            </w:r>
            <w:r>
              <w:rPr>
                <w:lang w:val="ru-RU"/>
              </w:rPr>
              <w:t xml:space="preserve"> р-н</w:t>
            </w:r>
            <w:r>
              <w:rPr>
                <w:lang w:val="ru-RU"/>
              </w:rPr>
              <w:t xml:space="preserve">а, ГРП ФЛ </w:t>
            </w:r>
            <w:r>
              <w:rPr>
                <w:lang w:val="ru-RU"/>
              </w:rPr>
              <w:t xml:space="preserve">Татищевского</w:t>
            </w:r>
            <w:r>
              <w:rPr>
                <w:lang w:val="ru-RU"/>
              </w:rPr>
              <w:t xml:space="preserve"> р-на)</w:t>
            </w:r>
          </w:p>
        </w:tc>
      </w:tr>
      <w:tr>
        <w:trPr>
          <w:trHeight w:val="276"/>
        </w:trPr>
        <w:tc>
          <w:tcPr>
            <w:tcW w:w="884" w:type="dxa"/>
            <w:vMerge w:val="continue"/>
            <w:shd w:val="clear" w:color="ffffff" w:fill="ffffff"/>
          </w:tcPr>
          <w:p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693" w:type="dxa"/>
            <w:vMerge w:val="continue"/>
            <w:shd w:val="clear" w:color="ffffff" w:fill="ffffff"/>
          </w:tcPr>
          <w:p>
            <w:pPr>
              <w:jc w:val="both"/>
              <w:rPr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ffffff" w:fill="ffffff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Внедрение цифрового сервиса опроса оценки качества. (Установка на рабочих местах «кнопки оценки качества обслуживания»)</w:t>
            </w:r>
          </w:p>
        </w:tc>
        <w:tc>
          <w:tcPr>
            <w:tcW w:w="1558" w:type="dxa"/>
            <w:vMerge w:val="restart"/>
            <w:shd w:val="clear" w:color="ffffff" w:fill="ffffff"/>
          </w:tcPr>
          <w:p>
            <w:pPr>
              <w:contextualSpacing/>
              <w:jc w:val="both"/>
            </w:pPr>
            <w:r>
              <w:t xml:space="preserve">31.12.2025</w:t>
            </w:r>
          </w:p>
        </w:tc>
        <w:tc>
          <w:tcPr>
            <w:tcW w:w="7795" w:type="dxa"/>
            <w:vMerge w:val="restart"/>
            <w:shd w:val="clear" w:color="ffffff" w:fill="ffffff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Функционал оценки качества обслуживания клиентов через систему электронной очереди на данный </w:t>
            </w:r>
            <w:r>
              <w:rPr>
                <w:lang w:val="ru-RU"/>
              </w:rPr>
              <w:t xml:space="preserve">момент не реализован, находится в работе.</w:t>
            </w:r>
          </w:p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Для внедрения системы оценки качества обслуживания и удовлетворенности клиентов с использованием планшетов было направлено функциональное задание в адрес </w:t>
            </w:r>
            <w:r>
              <w:rPr>
                <w:lang w:val="ru-RU"/>
              </w:rPr>
              <w:t xml:space="preserve">Альфаматик</w:t>
            </w:r>
            <w:r>
              <w:rPr>
                <w:lang w:val="ru-RU"/>
              </w:rPr>
              <w:t xml:space="preserve">, на размещение материалов на планшетах в ТП.</w:t>
            </w:r>
          </w:p>
        </w:tc>
      </w:tr>
      <w:tr>
        <w:tc>
          <w:tcPr>
            <w:tcW w:w="884" w:type="dxa"/>
            <w:vMerge w:val="continue"/>
            <w:shd w:val="clear" w:color="ffffff" w:fill="ffffff"/>
          </w:tcPr>
          <w:p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693" w:type="dxa"/>
            <w:vMerge w:val="continue"/>
            <w:shd w:val="clear" w:color="ffffff" w:fill="ffffff"/>
          </w:tcPr>
          <w:p>
            <w:pPr>
              <w:jc w:val="both"/>
              <w:rPr>
                <w:lang w:val="ru-RU"/>
              </w:rPr>
            </w:pPr>
          </w:p>
        </w:tc>
        <w:tc>
          <w:tcPr>
            <w:tcW w:w="2835" w:type="dxa"/>
            <w:shd w:val="clear" w:color="ffffff" w:fill="ffffff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Проведение доработки интеграции предварительной записи на сайте Общества с системой электронной очереди</w:t>
            </w:r>
          </w:p>
        </w:tc>
        <w:tc>
          <w:tcPr>
            <w:tcW w:w="1558" w:type="dxa"/>
            <w:shd w:val="clear" w:color="ffffff" w:fill="ffffff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31.12.2025</w:t>
            </w:r>
          </w:p>
        </w:tc>
        <w:tc>
          <w:tcPr>
            <w:tcW w:w="7795" w:type="dxa"/>
            <w:shd w:val="clear" w:color="ffffff" w:fill="ffffff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Возможность для клиента ФЛ записаться на очное обслуживание удаленно на удобное время при наличии в ЦО ФЛ, ГРП ФЛ терминала электронной очере</w:t>
            </w:r>
            <w:r>
              <w:rPr>
                <w:lang w:val="ru-RU"/>
              </w:rPr>
              <w:t xml:space="preserve">ди не реализовано. Централизованное ЗНИ</w:t>
            </w:r>
          </w:p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«Доработка СУВК 2.0 в части интеграции с ИС Электронной очереди (СУЭО)» находится на стадии согласования.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  <w:tcBorders>
              <w:top w:val="none" w:color="000000" w:sz="4" w:space="0"/>
            </w:tcBorders>
            <w:shd w:val="clear" w:color="auto" w:fill="auto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1.2.2.</w:t>
            </w:r>
          </w:p>
        </w:tc>
        <w:tc>
          <w:tcPr>
            <w:tcW w:w="2693" w:type="dxa"/>
            <w:vMerge w:val="restart"/>
            <w:tcBorders>
              <w:top w:val="none" w:color="000000" w:sz="4" w:space="0"/>
            </w:tcBorders>
            <w:shd w:val="clear" w:color="auto" w:fill="auto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Оптимизация процессов и сервисов оплаты</w:t>
            </w:r>
          </w:p>
          <w:p>
            <w:pPr>
              <w:contextualSpacing/>
              <w:jc w:val="both"/>
            </w:pP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Настройка ПО в части приема платежей через СБП в кассах Общества 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4 </w:t>
            </w:r>
            <w:r>
              <w:t xml:space="preserve">квартал</w:t>
            </w:r>
            <w:r>
              <w:t xml:space="preserve"> 202</w:t>
            </w:r>
            <w:r>
              <w:rPr>
                <w:lang w:val="ru-RU"/>
              </w:rPr>
              <w:t xml:space="preserve">5</w:t>
            </w:r>
          </w:p>
          <w:p>
            <w:pPr>
              <w:contextualSpacing/>
              <w:jc w:val="both"/>
            </w:pPr>
          </w:p>
          <w:p>
            <w:pPr>
              <w:contextualSpacing/>
              <w:jc w:val="both"/>
            </w:pPr>
          </w:p>
          <w:p>
            <w:pPr>
              <w:contextualSpacing/>
              <w:jc w:val="both"/>
            </w:pPr>
          </w:p>
          <w:p>
            <w:pPr>
              <w:contextualSpacing/>
              <w:jc w:val="both"/>
            </w:pP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Не реализовано в связи с необходимостью доработки 1С</w:t>
            </w:r>
          </w:p>
          <w:p>
            <w:pPr>
              <w:rPr>
                <w:lang w:val="ru-RU"/>
              </w:rPr>
            </w:pPr>
          </w:p>
        </w:tc>
      </w:tr>
      <w:tr>
        <w:trPr>
          <w:trHeight w:val="276"/>
        </w:trPr>
        <w:tc>
          <w:tcPr>
            <w:tcW w:w="884" w:type="dxa"/>
            <w:vMerge w:val="continue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693" w:type="dxa"/>
            <w:vMerge w:val="continue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Доработка ПО </w:t>
            </w:r>
            <w:r>
              <w:rPr>
                <w:lang w:val="ru-RU"/>
              </w:rPr>
              <w:t xml:space="preserve">по</w:t>
            </w:r>
            <w:r>
              <w:rPr>
                <w:lang w:val="ru-RU"/>
              </w:rPr>
              <w:t xml:space="preserve"> приему платежей за электроэнергию/продажи товаров по </w:t>
            </w:r>
            <w:r>
              <w:t xml:space="preserve">QR</w:t>
            </w:r>
            <w:r>
              <w:rPr>
                <w:lang w:val="ru-RU"/>
              </w:rPr>
              <w:t xml:space="preserve">-коду.</w:t>
            </w:r>
          </w:p>
        </w:tc>
        <w:tc>
          <w:tcPr>
            <w:tcW w:w="1558" w:type="dxa"/>
            <w:shd w:val="clear" w:color="auto" w:fill="auto"/>
          </w:tcPr>
          <w:p>
            <w:pPr>
              <w:contextualSpacing/>
              <w:jc w:val="both"/>
            </w:pPr>
            <w:r>
              <w:t xml:space="preserve">4 </w:t>
            </w:r>
            <w:r>
              <w:t xml:space="preserve">квартал</w:t>
            </w:r>
            <w:r>
              <w:t xml:space="preserve"> 202</w:t>
            </w:r>
            <w:r>
              <w:rPr>
                <w:lang w:val="ru-RU"/>
              </w:rPr>
              <w:t xml:space="preserve">5</w:t>
            </w:r>
          </w:p>
        </w:tc>
        <w:tc>
          <w:tcPr>
            <w:tcW w:w="7795" w:type="dxa"/>
            <w:shd w:val="clear" w:color="auto" w:fill="auto"/>
          </w:tcPr>
          <w:p>
            <w:pPr>
              <w:rPr>
                <w:lang w:val="ru-RU"/>
              </w:rPr>
            </w:pP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Не реализовано в </w:t>
            </w:r>
            <w:r>
              <w:rPr>
                <w:lang w:val="ru-RU"/>
              </w:rPr>
              <w:t xml:space="preserve">связи с необходимостью доработки 1С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1.2.3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Для повышения уровня качества обработки обращений по заключению договора, в ПАО «Саратовэнерго» выпущены распорядительные документы от 30.05.2025 СЭ/458 «О введении в действие регламента взаимодействия структурных подразделений ПАО «Саратовэнерго» по энерг</w:t>
            </w:r>
            <w:r>
              <w:rPr>
                <w:lang w:val="ru-RU"/>
              </w:rPr>
              <w:t xml:space="preserve">осбытовой и прочей деятельности” и  от 21.01.2025 СЭ/30 «Об утверждении порядка заключения договоров энергоснабжения с гражданами, осуществляющими ведение садоводства или огородничества на земельном участке”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1.2.4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Повышение качества обслуживания отдельной категории населения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Создание дополнительных условий, повышающих качество обслуживания участников СВО и членов их семей в соответствии с направлением развития социальной политики РФ в 2025 г.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 30.06.2025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 xml:space="preserve">В ПАО «Сара</w:t>
            </w:r>
            <w:r>
              <w:rPr>
                <w:lang w:val="ru-RU"/>
              </w:rPr>
              <w:t xml:space="preserve">товэнерго» выпущен распорядительный документ от 14.04.2025 СЭ/362, в соответствии с которым сотрудники территориальных подразделений осуществляют очное обслуживание  </w:t>
            </w:r>
          </w:p>
          <w:p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 xml:space="preserve">клиентов физических лиц отдельной категории населения вне очереди.</w:t>
            </w:r>
          </w:p>
          <w:p>
            <w:pPr>
              <w:shd w:val="clear" w:color="ffffff" w:themeColor="background1" w:fill="ffffff" w:themeFill="background1"/>
              <w:rPr>
                <w:lang w:val="ru-RU"/>
              </w:rPr>
            </w:pPr>
          </w:p>
          <w:p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>
        <w:trPr>
          <w:trHeight w:val="1840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1.2.5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Снижение пот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ребительских усилий при посещении офиса обслуживания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Проведение Дня клиента (приём клиентов руководителем территориального подразделения);</w:t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contextualSpacing/>
              <w:jc w:val="both"/>
              <w:rPr>
                <w:rFonts w:ascii="Calibri" w:hAnsi="Calibri" w:eastAsia="Calibri" w:cs="Calibri"/>
                <w:sz w:val="22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подготовка "памяток"/инструкций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30.06.2025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ПАО «Саратовэнерго» выпущен распорядительный документ от 29.07.2025 СЭ/417, в соответствии с которым осуществляется очное обслуживание клиентов руководителем территориального подразделения.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1.2.6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Снижение потребительских усилий при посещении офиса обслу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живания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Изменение режима работы офиса. Смещенный график обслуживания клиентов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30.06.2025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ПАО «Саратовэнерго» выпущено два распорядительных документа от 24.12.2024 СЭ/695 и от 07.02.2025 СЭ/88, в соответствии с которыми осуществляется очное обслуживание клиентов со смещенным графиком </w:t>
            </w:r>
          </w:p>
          <w:p>
            <w:pPr>
              <w:shd w:val="clear" w:color="ffffff" w:themeColor="background1" w:fill="ffffff" w:themeFill="background1"/>
              <w:contextualSpacing/>
              <w:jc w:val="both"/>
              <w:rPr>
                <w:color w:val="000000" w:themeColor="text1"/>
                <w:lang w:val="ru-RU"/>
              </w:rPr>
            </w:pPr>
          </w:p>
        </w:tc>
      </w:tr>
      <w:tr>
        <w:trPr>
          <w:trHeight w:val="276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</w:pPr>
            <w:r>
              <w:t xml:space="preserve">1.2.7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Привести к единообразию подход к наполнению информ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ацией для клиентов в ЦО ФЛ, ГРП ФЛ, подход к размещению информационных объявлений, оформлению стендов, способам оформления, табличкам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Снижение потребительских усилий при посещении офиса очного обслуживания клиентов в рамках исполнения требований Стандарта качества обслуживания клиентов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rPr>
                <w:rFonts w:eastAsia="Liberation Serif"/>
                <w:lang w:val="ru-RU"/>
              </w:rPr>
            </w:pPr>
            <w:r>
              <w:rPr>
                <w:lang w:val="ru-RU"/>
              </w:rPr>
              <w:t xml:space="preserve">Данное мероприятие осуществляется в рамках приказа от 25.01.2023 СЭ/45 "О размещении информа</w:t>
            </w:r>
            <w:r>
              <w:rPr>
                <w:lang w:val="ru-RU"/>
              </w:rPr>
              <w:t xml:space="preserve">ционных материалов и информационных носителей в территориальных подразделениях". Контроль осуществляется в рамках Приказа СЭ/89 от 06.03.2024 "О выездных проверках с целью оценки помещений ЦОК/ГРП ПАО "Саратовэнерго". </w:t>
            </w:r>
          </w:p>
          <w:p>
            <w:pPr>
              <w:rPr>
                <w:rFonts w:eastAsia="Liberation Serif"/>
                <w:lang w:val="ru-RU"/>
              </w:rPr>
            </w:pPr>
          </w:p>
        </w:tc>
      </w:tr>
      <w:tr>
        <w:tc>
          <w:tcPr>
            <w:tcW w:w="884" w:type="dxa"/>
            <w:shd w:val="clear" w:color="auto" w:fill="auto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</w:t>
            </w:r>
          </w:p>
        </w:tc>
        <w:tc>
          <w:tcPr>
            <w:tcW w:w="14881" w:type="dxa"/>
            <w:gridSpan w:val="4"/>
            <w:shd w:val="clear" w:color="auto" w:fill="auto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Интерактивное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обслуживание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2.1.</w:t>
            </w:r>
          </w:p>
        </w:tc>
        <w:tc>
          <w:tcPr>
            <w:tcW w:w="14881" w:type="dxa"/>
            <w:gridSpan w:val="4"/>
          </w:tcPr>
          <w:p>
            <w:pPr>
              <w:contextualSpacing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Обслуживание на официальном сайте В2В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2.1.1</w:t>
            </w: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Доработка </w:t>
            </w:r>
            <w:r>
              <w:rPr>
                <w:highlight w:val="white"/>
                <w:lang w:val="ru-RU"/>
              </w:rPr>
              <w:t xml:space="preserve">чат-бота на официальном сайте ПАО «</w:t>
            </w:r>
            <w:r>
              <w:rPr>
                <w:highlight w:val="white"/>
                <w:lang w:val="ru-RU"/>
              </w:rPr>
              <w:t xml:space="preserve">Саратовэнерго»  в</w:t>
            </w:r>
            <w:r>
              <w:rPr>
                <w:highlight w:val="white"/>
                <w:lang w:val="ru-RU"/>
              </w:rPr>
              <w:t xml:space="preserve"> рамках оказания услуг ОКЦ</w:t>
            </w:r>
            <w:r>
              <w:rPr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в части часто задаваемых вопросов позволит минимизировать количество обращений клиентов в территориальные подразделения и</w:t>
            </w:r>
            <w:r>
              <w:rPr>
                <w:highlight w:val="white"/>
                <w:lang w:val="ru-RU"/>
              </w:rPr>
              <w:t xml:space="preserve"> предоставить интересующую информацию клиенту в рамках общения с чат-ботом.</w:t>
            </w:r>
          </w:p>
        </w:tc>
        <w:tc>
          <w:tcPr>
            <w:tcW w:w="2835" w:type="dxa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Доработка сценариев чат-бота на сайте ПАО «Саратовэнерго» в части «часто задаваемых вопросов»</w:t>
            </w:r>
          </w:p>
        </w:tc>
        <w:tc>
          <w:tcPr>
            <w:tcW w:w="1558" w:type="dxa"/>
          </w:tcPr>
          <w:p>
            <w:pPr>
              <w:shd w:val="clear" w:color="ffffff" w:themeColor="background1" w:fill="ffffff" w:themeFill="background1"/>
            </w:pPr>
            <w:r>
              <w:t xml:space="preserve">31.12.2025</w:t>
            </w:r>
          </w:p>
        </w:tc>
        <w:tc>
          <w:tcPr>
            <w:tcW w:w="7795" w:type="dxa"/>
          </w:tcPr>
          <w:p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 xml:space="preserve">Количество обращений в очном канале обслуживания по сравнению с 2024 годом </w:t>
            </w:r>
            <w:r>
              <w:rPr>
                <w:lang w:val="ru-RU"/>
              </w:rPr>
              <w:t xml:space="preserve">снизилось на 32%. Доработка чат-бота на официальном сайте ПАО «Саратовэнерго» в рамках оказания услуг ОКЦ, происходящих в рабочем порядке по мере необходимости</w:t>
            </w:r>
          </w:p>
        </w:tc>
      </w:tr>
      <w:tr>
        <w:trPr>
          <w:trHeight w:val="261"/>
        </w:trP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2.2.</w:t>
            </w:r>
          </w:p>
        </w:tc>
        <w:tc>
          <w:tcPr>
            <w:tcW w:w="14881" w:type="dxa"/>
            <w:gridSpan w:val="4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Обслуживание на официальном сайте В2С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2.2.1</w:t>
            </w:r>
          </w:p>
        </w:tc>
        <w:tc>
          <w:tcPr>
            <w:tcW w:w="2693" w:type="dxa"/>
            <w:vMerge w:val="restart"/>
            <w:shd w:val="clear" w:color="auto" w:fill="auto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Доработка чат-бота на официальном сайте ПАО «</w:t>
            </w:r>
            <w:r>
              <w:rPr>
                <w:lang w:val="ru-RU"/>
              </w:rPr>
              <w:t xml:space="preserve">Саратовэнерго»  в</w:t>
            </w:r>
            <w:r>
              <w:rPr>
                <w:lang w:val="ru-RU"/>
              </w:rPr>
              <w:t xml:space="preserve"> рамках оказания услуг ОКЦ в части часто задаваемых вопросов позволит минимизировать количество обращений клиентов в территориальные подразделения и предоставить интересующую информацию клиенту в рамках общения с чат-ботом.</w:t>
            </w:r>
          </w:p>
        </w:tc>
        <w:tc>
          <w:tcPr>
            <w:tcW w:w="2835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Доработка сцена</w:t>
            </w:r>
            <w:r>
              <w:rPr>
                <w:lang w:val="ru-RU"/>
              </w:rPr>
              <w:t xml:space="preserve">риев чат-бота на сайте ПАО «Саратовэнерго» в части «часто задаваемых вопросов»</w:t>
            </w:r>
          </w:p>
        </w:tc>
        <w:tc>
          <w:tcPr>
            <w:tcW w:w="1558" w:type="dxa"/>
            <w:vMerge w:val="restart"/>
            <w:shd w:val="clear" w:color="auto" w:fill="auto"/>
          </w:tcPr>
          <w:p>
            <w:pPr>
              <w:shd w:val="clear" w:color="ffffff" w:themeColor="background1" w:fill="ffffff" w:themeFill="background1"/>
            </w:pPr>
            <w:r>
              <w:t xml:space="preserve">31.12.2025</w:t>
            </w:r>
          </w:p>
        </w:tc>
        <w:tc>
          <w:tcPr>
            <w:tcW w:w="7795" w:type="dxa"/>
            <w:vMerge w:val="restart"/>
            <w:shd w:val="clear" w:color="auto" w:fill="auto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Сокращено количество обращений клиентов в очный канал обслуживания, в соответствии с доработками чат-бота на официальном сайте ПАО «Саратовэнерго» в рамках оказания у</w:t>
            </w:r>
            <w:r>
              <w:rPr>
                <w:lang w:val="ru-RU"/>
              </w:rPr>
              <w:t xml:space="preserve">слуг ОКЦ, происходящих в рабочем порядке по мере необходимости.</w:t>
            </w:r>
          </w:p>
        </w:tc>
      </w:tr>
      <w:tr>
        <w:tc>
          <w:tcPr>
            <w:tcW w:w="884" w:type="dxa"/>
            <w:shd w:val="clear" w:color="auto" w:fill="auto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2.2.2</w:t>
            </w:r>
          </w:p>
        </w:tc>
        <w:tc>
          <w:tcPr>
            <w:tcW w:w="2693" w:type="dxa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Доработка формы обратной связи «Интернет-приёмная» </w:t>
            </w:r>
          </w:p>
        </w:tc>
        <w:tc>
          <w:tcPr>
            <w:tcW w:w="2835" w:type="dxa"/>
            <w:shd w:val="clear" w:color="auto" w:fill="auto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Доработка канала коммуникаций «Интернет-приёмная» в части изменения (упрощения) интерфейса, добавления обязательных полей в целях упрощения идентификации клиентов.</w:t>
            </w:r>
          </w:p>
        </w:tc>
        <w:tc>
          <w:tcPr>
            <w:tcW w:w="1558" w:type="dxa"/>
            <w:shd w:val="clear" w:color="auto" w:fill="auto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31.12.2025</w:t>
            </w:r>
          </w:p>
        </w:tc>
        <w:tc>
          <w:tcPr>
            <w:tcW w:w="7795" w:type="dxa"/>
            <w:shd w:val="clear" w:color="auto" w:fill="auto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Для сокращения срока получения ответа клиентом ФЛ и улучшение качества обслуживан</w:t>
            </w:r>
            <w:r>
              <w:rPr>
                <w:lang w:val="ru-RU"/>
              </w:rPr>
              <w:t xml:space="preserve">ия, на данный момент в Обществе в канале коммуникаций «Интернет-приёмная» реализуются: </w:t>
            </w:r>
          </w:p>
          <w:p>
            <w:pPr>
              <w:pStyle w:val="af2"/>
              <w:numPr>
                <w:numId w:val="29"/>
                <w:ilvl w:val="0"/>
              </w:numPr>
              <w:shd w:val="clear" w:color="ffffff" w:themeColor="background1" w:fill="ffffff" w:themeFill="background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Возможность клиентам выбрать территориальное подразделение, в которое они хотят обратиться;</w:t>
            </w:r>
          </w:p>
          <w:p>
            <w:pPr>
              <w:pStyle w:val="af2"/>
              <w:numPr>
                <w:numId w:val="29"/>
                <w:ilvl w:val="0"/>
              </w:numPr>
              <w:shd w:val="clear" w:color="ffffff" w:themeColor="background1" w:fill="ffffff" w:themeFill="background1"/>
              <w:jc w:val="both"/>
            </w:pPr>
            <w:r>
              <w:rPr>
                <w:lang w:val="ru-RU"/>
              </w:rPr>
              <w:t xml:space="preserve">Выбрать тему обращения;</w:t>
            </w:r>
          </w:p>
          <w:p>
            <w:pPr>
              <w:pStyle w:val="af2"/>
              <w:numPr>
                <w:numId w:val="29"/>
                <w:ilvl w:val="0"/>
              </w:numPr>
              <w:shd w:val="clear" w:color="ffffff" w:themeColor="background1" w:fill="ffffff" w:themeFill="background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поле лицевой счет указывать примечание (кружок со знаком восклицания) при раскрытии которого клиент увидит (Рекомендуем Вам указывать номер лицевого счета это позволит оперативно провести идентификацию и ускорит ответ на Ваш запрос);</w:t>
            </w:r>
          </w:p>
          <w:p>
            <w:pPr>
              <w:pStyle w:val="af2"/>
              <w:numPr>
                <w:numId w:val="29"/>
                <w:ilvl w:val="0"/>
              </w:numPr>
              <w:shd w:val="clear" w:color="ffffff" w:themeColor="background1" w:fill="ffffff" w:themeFill="background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Поле номе телефона с</w:t>
            </w:r>
            <w:r>
              <w:rPr>
                <w:lang w:val="ru-RU"/>
              </w:rPr>
              <w:t xml:space="preserve">делать обязательным полем с указанием шаблона +7(</w:t>
            </w:r>
            <w:r>
              <w:rPr>
                <w:lang w:val="ru-RU"/>
              </w:rPr>
              <w:t xml:space="preserve">ххх</w:t>
            </w:r>
            <w:r>
              <w:rPr>
                <w:lang w:val="ru-RU"/>
              </w:rPr>
              <w:t xml:space="preserve">)</w:t>
            </w:r>
            <w:r>
              <w:rPr>
                <w:lang w:val="ru-RU"/>
              </w:rPr>
              <w:t xml:space="preserve">ххх-хх-хх</w:t>
            </w:r>
            <w:r>
              <w:rPr>
                <w:lang w:val="ru-RU"/>
              </w:rPr>
              <w:t xml:space="preserve">.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2.3.</w:t>
            </w:r>
          </w:p>
        </w:tc>
        <w:tc>
          <w:tcPr>
            <w:tcW w:w="14881" w:type="dxa"/>
            <w:gridSpan w:val="4"/>
          </w:tcPr>
          <w:p>
            <w:pPr>
              <w:contextualSpacing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Обслуживание в Личном кабинете, в том числе в мобильном приложении В2В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highlight w:val="white"/>
              </w:rPr>
            </w:pPr>
            <w:r>
              <w:rPr>
                <w:lang w:val="ru-RU"/>
              </w:rPr>
              <w:t xml:space="preserve">2</w:t>
            </w:r>
            <w:r>
              <w:rPr>
                <w:highlight w:val="white"/>
                <w:lang w:val="ru-RU"/>
              </w:rPr>
              <w:t xml:space="preserve">.3.1</w:t>
            </w: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азвитие и оптимизация сервисов, повышение удобства обслуживания</w:t>
            </w:r>
            <w:r>
              <w:rPr>
                <w:lang w:val="ru-RU"/>
              </w:rPr>
              <w:t xml:space="preserve"> клиентов</w:t>
            </w:r>
          </w:p>
        </w:tc>
        <w:tc>
          <w:tcPr>
            <w:tcW w:w="2835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Доработка фун</w:t>
            </w:r>
            <w:r>
              <w:rPr>
                <w:lang w:val="ru-RU"/>
              </w:rPr>
              <w:t xml:space="preserve">кциональности ЛКК в части </w:t>
            </w:r>
            <w:r>
              <w:rPr>
                <w:highlight w:val="white"/>
                <w:lang w:val="ru-RU"/>
              </w:rPr>
              <w:t xml:space="preserve">размещения ПД с факсимиле печати и подписи руководителя, также реализована возможность размещения часов пиковой нагрузки.</w:t>
            </w:r>
          </w:p>
        </w:tc>
        <w:tc>
          <w:tcPr>
            <w:tcW w:w="1558" w:type="dxa"/>
          </w:tcPr>
          <w:p>
            <w:pPr>
              <w:contextualSpacing/>
              <w:jc w:val="both"/>
              <w:rPr>
                <w:highlight w:val="white"/>
              </w:rPr>
            </w:pPr>
            <w:r>
              <w:rPr>
                <w:lang w:val="ru-RU"/>
              </w:rPr>
              <w:t xml:space="preserve">3</w:t>
            </w:r>
            <w:r>
              <w:rPr>
                <w:highlight w:val="white"/>
                <w:lang w:val="ru-RU"/>
              </w:rPr>
              <w:t xml:space="preserve">1.12.2025</w:t>
            </w:r>
          </w:p>
        </w:tc>
        <w:tc>
          <w:tcPr>
            <w:tcW w:w="7795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ЗНИ «Доработка ЛКК ЮЛ факсимиле должностного лица, где скан печати компании в документах, подразу</w:t>
            </w:r>
            <w:r>
              <w:rPr>
                <w:lang w:val="ru-RU"/>
              </w:rPr>
              <w:t xml:space="preserve">мевающих обязательную установку</w:t>
            </w:r>
            <w:r>
              <w:rPr>
                <w:lang w:val="ru-RU"/>
              </w:rPr>
              <w:t xml:space="preserve">»</w:t>
            </w:r>
            <w:r>
              <w:rPr>
                <w:lang w:val="ru-RU"/>
              </w:rPr>
              <w:t xml:space="preserve"> находится на стадии “Назначение и анализ”, его реализация запланирована на 1 квартал 2026 года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2.3.2</w:t>
            </w:r>
          </w:p>
        </w:tc>
        <w:tc>
          <w:tcPr>
            <w:tcW w:w="2693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Для повышения уровня качества обработки обращений по заключению договора в ПАО «Саратовэнерго» выпущены следующие распорядительные документы:</w:t>
            </w:r>
          </w:p>
          <w:p>
            <w:pPr>
              <w:pStyle w:val="af2"/>
              <w:numPr>
                <w:numId w:val="34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№СЭ/458 от 30.05.2025 «О введении </w:t>
            </w:r>
            <w:r>
              <w:rPr>
                <w:lang w:val="ru-RU"/>
              </w:rPr>
              <w:t xml:space="preserve">в действие регламента взаимодействия структурных подразделений ПАО «Саратовэнерго» по энергосбытовой и прочей деятельности”;</w:t>
            </w:r>
          </w:p>
          <w:p>
            <w:pPr>
              <w:pStyle w:val="af2"/>
              <w:numPr>
                <w:numId w:val="34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№СЭ/403-р от </w:t>
            </w:r>
            <w:r>
              <w:rPr>
                <w:lang w:val="ru-RU"/>
              </w:rPr>
              <w:t xml:space="preserve">23.07.2025  "</w:t>
            </w:r>
            <w:r>
              <w:rPr>
                <w:lang w:val="ru-RU"/>
              </w:rPr>
              <w:t xml:space="preserve">О заключении прямых договоров с гражданами — членами СНТ»;</w:t>
            </w:r>
          </w:p>
          <w:p>
            <w:pPr>
              <w:pStyle w:val="af2"/>
              <w:numPr>
                <w:numId w:val="34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№СЭ/123 от 17.02.2025 "О контроле сроков соблю</w:t>
            </w:r>
            <w:r>
              <w:rPr>
                <w:lang w:val="ru-RU"/>
              </w:rPr>
              <w:t xml:space="preserve">дения заключения договоров";</w:t>
            </w:r>
          </w:p>
          <w:p>
            <w:pPr>
              <w:pStyle w:val="af2"/>
              <w:numPr>
                <w:numId w:val="34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 СЭ/461 от 30.05.2025 "Об утверждении порядка работы с обращениями в модуле CRM ЮЛ".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2.4.</w:t>
            </w:r>
          </w:p>
        </w:tc>
        <w:tc>
          <w:tcPr>
            <w:tcW w:w="14881" w:type="dxa"/>
            <w:gridSpan w:val="4"/>
          </w:tcPr>
          <w:p>
            <w:pPr>
              <w:contextualSpacing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Обслуживание в Личном кабинете, в том числе в мобильном приложении В2С</w:t>
            </w:r>
          </w:p>
        </w:tc>
      </w:tr>
      <w:tr>
        <w:tc>
          <w:tcPr>
            <w:tcW w:w="884" w:type="dxa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2.4.1</w:t>
            </w: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Развитие и оптимизация сервисов, повышение </w:t>
            </w:r>
            <w:r>
              <w:rPr>
                <w:lang w:val="ru-RU"/>
              </w:rPr>
              <w:t xml:space="preserve">удобства  обслуживания</w:t>
            </w:r>
            <w:r>
              <w:rPr>
                <w:lang w:val="ru-RU"/>
              </w:rPr>
              <w:t xml:space="preserve"> клиентов</w:t>
            </w:r>
          </w:p>
        </w:tc>
        <w:tc>
          <w:tcPr>
            <w:tcW w:w="2835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Доработка функциональности мобильной версии ЛКК ФЛ в части возможности размещения и печати ПД из ЛКК</w:t>
            </w:r>
          </w:p>
        </w:tc>
        <w:tc>
          <w:tcPr>
            <w:tcW w:w="1558" w:type="dxa"/>
          </w:tcPr>
          <w:p>
            <w:pPr>
              <w:contextualSpacing/>
              <w:jc w:val="both"/>
            </w:pPr>
            <w:r>
              <w:rPr>
                <w:lang w:val="ru-RU"/>
              </w:rPr>
              <w:t xml:space="preserve">31.12.2025</w:t>
            </w:r>
          </w:p>
        </w:tc>
        <w:tc>
          <w:tcPr>
            <w:tcW w:w="7795" w:type="dxa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Возможности размещения и печати ПД из ЛКК реализовано в обновлении 1.42</w:t>
            </w:r>
          </w:p>
          <w:p>
            <w:pPr>
              <w:contextualSpacing/>
              <w:jc w:val="both"/>
              <w:rPr>
                <w:lang w:val="ru-RU"/>
              </w:rPr>
            </w:pP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2.4.2</w:t>
            </w:r>
          </w:p>
        </w:tc>
        <w:tc>
          <w:tcPr>
            <w:tcW w:w="2693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Развитие и оптимизация сервисов,</w:t>
            </w:r>
            <w:r>
              <w:rPr>
                <w:lang w:val="ru-RU"/>
              </w:rPr>
              <w:t xml:space="preserve"> повышение удобства обслуживания клиентов</w:t>
            </w:r>
          </w:p>
          <w:p>
            <w:pPr>
              <w:rPr>
                <w:lang w:val="ru-RU"/>
              </w:rPr>
            </w:pPr>
          </w:p>
        </w:tc>
        <w:tc>
          <w:tcPr>
            <w:tcW w:w="2835" w:type="dxa"/>
            <w:vMerge w:val="restart"/>
          </w:tcPr>
          <w:p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 xml:space="preserve">Доработка функциональности мобильной версии ЛКК ФЛ в части возможности размещения и печати справки о начислении из ЛКК</w:t>
            </w: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contextualSpacing/>
              <w:jc w:val="both"/>
              <w:rPr>
                <w:lang w:val="ru-RU"/>
              </w:rPr>
            </w:pPr>
          </w:p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настоящий момент ЗНИ не реализовано</w:t>
            </w:r>
          </w:p>
          <w:p>
            <w:pPr>
              <w:contextualSpacing/>
              <w:jc w:val="both"/>
              <w:rPr>
                <w:lang w:val="ru-RU"/>
              </w:rPr>
            </w:pP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2.4.3</w:t>
            </w:r>
          </w:p>
        </w:tc>
        <w:tc>
          <w:tcPr>
            <w:tcW w:w="2693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shd w:val="clear" w:color="ffffff" w:themeColor="background1" w:fill="ffffff" w:themeFill="background1"/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Для повышения уровня качества обработки обращений по заключению договора, в ПАО «Саратовэнерго» выпущены распоряди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тельные документы от 30.05.2025 СЭ/458 «О введении в действие регламента взаимодействия структурных подразделений ПАО «Саратовэнерго» по энергосбытовой и прочей деятельности” и  от 21.01.2025 СЭ/30 «Об утверждении порядка заключения договоров энергоснабжен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ия с гражданами, осуществляющими ведение садоводства или огородничества на земельном участке”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2.5.</w:t>
            </w:r>
          </w:p>
        </w:tc>
        <w:tc>
          <w:tcPr>
            <w:tcW w:w="14881" w:type="dxa"/>
            <w:gridSpan w:val="4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  <w:t xml:space="preserve">Обслуживание письменных обращений по электронной почте В2В</w:t>
            </w:r>
          </w:p>
        </w:tc>
      </w:tr>
      <w:tr>
        <w:trPr>
          <w:trHeight w:val="276"/>
        </w:trPr>
        <w:tc>
          <w:tcPr>
            <w:tcW w:w="884" w:type="dxa"/>
            <w:vMerge w:val="restart"/>
          </w:tcPr>
          <w:p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2.5.1</w:t>
            </w:r>
          </w:p>
        </w:tc>
        <w:tc>
          <w:tcPr>
            <w:tcW w:w="2693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5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558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31.12.2025</w:t>
            </w:r>
          </w:p>
        </w:tc>
        <w:tc>
          <w:tcPr>
            <w:tcW w:w="7795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Для повышения уровня качества обработки обращений по заключению договора в ПАО «Саратовэнерго» выпущены следующие распорядительные документы:</w:t>
            </w:r>
          </w:p>
          <w:p>
            <w:pPr>
              <w:pStyle w:val="af2"/>
              <w:numPr>
                <w:numId w:val="35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№СЭ/458 от 30.05.2025 «О введении </w:t>
            </w:r>
            <w:r>
              <w:rPr>
                <w:lang w:val="ru-RU"/>
              </w:rPr>
              <w:t xml:space="preserve">в действие регламента взаимодействия структурных подразделений ПАО «Саратовэнерго» по энергосбытовой и прочей деятельности”;</w:t>
            </w:r>
          </w:p>
          <w:p>
            <w:pPr>
              <w:pStyle w:val="af2"/>
              <w:numPr>
                <w:numId w:val="35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№СЭ/403-р от 23.07.2025 "О заключении прямых договоров с гражданами — членами СНТ»;</w:t>
            </w:r>
          </w:p>
          <w:p>
            <w:pPr>
              <w:pStyle w:val="af2"/>
              <w:numPr>
                <w:numId w:val="35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№СЭ/123 от 17.02.2025 "О контроле сроков соблюдения заключения договоров";</w:t>
            </w:r>
          </w:p>
          <w:p>
            <w:pPr>
              <w:pStyle w:val="af2"/>
              <w:numPr>
                <w:numId w:val="35"/>
                <w:ilvl w:val="0"/>
              </w:numPr>
              <w:rPr>
                <w:lang w:val="ru-RU"/>
              </w:rPr>
            </w:pPr>
            <w:r>
              <w:rPr>
                <w:lang w:val="ru-RU"/>
              </w:rPr>
              <w:t xml:space="preserve">№ СЭ/461 от 30.05.2025 "Об утверждении порядка работы с обращениями в модуле CRM ЮЛ".</w:t>
            </w:r>
          </w:p>
        </w:tc>
      </w:tr>
    </w:tbl>
    <w:p>
      <w:pPr>
        <w:ind w:left="720"/>
        <w:jc w:val="both"/>
        <w:rPr>
          <w:b/>
          <w:bCs/>
          <w:lang w:val="ru-RU"/>
        </w:rPr>
      </w:pPr>
    </w:p>
    <w:p>
      <w:pPr>
        <w:ind w:left="720"/>
        <w:jc w:val="both"/>
        <w:rPr>
          <w:b/>
          <w:bCs/>
          <w:lang w:val="ru-RU"/>
        </w:rPr>
      </w:pPr>
    </w:p>
    <w:p>
      <w:pPr>
        <w:ind w:left="720"/>
        <w:jc w:val="both"/>
        <w:rPr>
          <w:b/>
          <w:bCs/>
          <w:lang w:val="ru-RU"/>
        </w:rPr>
      </w:pPr>
    </w:p>
    <w:p>
      <w:pPr>
        <w:ind w:left="720"/>
        <w:jc w:val="both"/>
        <w:rPr>
          <w:b/>
          <w:bCs/>
          <w:lang w:val="ru-RU"/>
        </w:rPr>
      </w:pPr>
    </w:p>
    <w:p>
      <w:pPr>
        <w:ind w:left="720"/>
        <w:jc w:val="both"/>
        <w:rPr>
          <w:b/>
          <w:bCs/>
          <w:lang w:val="ru-RU"/>
        </w:rPr>
      </w:pPr>
    </w:p>
    <w:p>
      <w:pPr>
        <w:jc w:val="both"/>
        <w:rPr>
          <w:b/>
          <w:bCs/>
          <w:lang w:val="ru-RU"/>
        </w:rPr>
      </w:pPr>
    </w:p>
    <w:sectPr>
      <w:headerReference w:type="default" r:id="rId9"/>
      <w:footerReference w:type="default" r:id="rId10"/>
      <w:pgSz w:w="16838" w:h="11906" w:orient="landscape"/>
      <w:pgMar w:top="851" w:right="567" w:bottom="282" w:left="993" w:header="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Noto Sans Devanagari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2090872143"/>
      <w:docPartObj>
        <w:docPartGallery w:val="Page Numbers (Bottom of Page)"/>
        <w:docPartUnique w:val="true"/>
      </w:docPartObj>
    </w:sdtPr>
    <w:sdtContent>
      <w:p>
        <w:pPr>
          <w:pStyle w:val="afd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6</w:t>
        </w:r>
        <w:r>
          <w:fldChar w:fldCharType="end"/>
        </w:r>
      </w:p>
    </w:sdtContent>
  </w:sdt>
  <w:p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pPr w:horzAnchor="margin" w:tblpXSpec="left" w:vertAnchor="text" w:tblpY="181" w:leftFromText="180" w:rightFromText="180"/>
      <w:tblW w:w="1524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000" w:firstRow="0" w:lastRow="0" w:firstColumn="0" w:lastColumn="0" w:noHBand="0" w:noVBand="0"/>
    </w:tblPr>
    <w:tblGrid>
      <w:gridCol w:w="1526"/>
      <w:gridCol w:w="13714"/>
    </w:tblGrid>
    <w:tr>
      <w:trPr>
        <w:cantSplit/>
        <w:trHeight w:val="88"/>
      </w:trPr>
      <w:tc>
        <w:tcPr>
          <w:tcW w:w="1526" w:type="dxa"/>
          <w:vAlign w:val="center"/>
        </w:tcPr>
        <w:p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0"/>
              <w:szCs w:val="20"/>
              <w:lang w:val="ru-RU" w:eastAsia="ru-RU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390525" cy="390525"/>
                    <wp:effectExtent l="0" t="0" r="9525" b="9525"/>
                    <wp:docPr id="1" name="Рисунок 25" descr="logo_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logo_1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90525" cy="39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miter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30.75pt;height:30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</w:p>
      </w:tc>
      <w:tc>
        <w:tcPr>
          <w:tcW w:w="13714" w:type="dxa"/>
          <w:vAlign w:val="center"/>
        </w:tcPr>
        <w:p>
          <w:pPr>
            <w:jc w:val="center"/>
            <w:rPr>
              <w:b/>
              <w:bCs/>
              <w:sz w:val="20"/>
              <w:szCs w:val="20"/>
              <w:lang w:val="ru-RU"/>
            </w:rPr>
          </w:pPr>
          <w:r>
            <w:rPr>
              <w:b/>
              <w:bCs/>
              <w:sz w:val="20"/>
              <w:szCs w:val="20"/>
              <w:lang w:val="ru-RU"/>
            </w:rPr>
            <w:t xml:space="preserve">Отчет по Программе мероприятий по повышению качества обслуживания клиентов ПАО «Саратовэнерго» за 2025 год</w:t>
          </w:r>
        </w:p>
      </w:tc>
    </w:tr>
  </w:tbl>
  <w:p>
    <w:pPr>
      <w:pStyle w:val="afb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EC32F9A2">
      <w:start w:val="1"/>
      <w:numFmt w:val="decimal"/>
      <w:lvlText w:val="%1."/>
      <w:lvlJc w:val="left"/>
      <w:pPr>
        <w:ind w:left="709" w:hanging="360"/>
      </w:pPr>
    </w:lvl>
    <w:lvl w:ilvl="1" w:tplc="74A43098">
      <w:start w:val="1"/>
      <w:numFmt w:val="lowerLetter"/>
      <w:lvlText w:val="%2."/>
      <w:lvlJc w:val="left"/>
      <w:pPr>
        <w:ind w:left="1429" w:hanging="360"/>
      </w:pPr>
    </w:lvl>
    <w:lvl w:ilvl="2" w:tplc="C62ADFB0">
      <w:start w:val="1"/>
      <w:numFmt w:val="lowerRoman"/>
      <w:lvlText w:val="%3."/>
      <w:lvlJc w:val="right"/>
      <w:pPr>
        <w:ind w:left="2149" w:hanging="180"/>
      </w:pPr>
    </w:lvl>
    <w:lvl w:ilvl="3" w:tplc="1ADAA64C">
      <w:start w:val="1"/>
      <w:numFmt w:val="decimal"/>
      <w:lvlText w:val="%4."/>
      <w:lvlJc w:val="left"/>
      <w:pPr>
        <w:ind w:left="2869" w:hanging="360"/>
      </w:pPr>
    </w:lvl>
    <w:lvl w:ilvl="4" w:tplc="33162B14">
      <w:start w:val="1"/>
      <w:numFmt w:val="lowerLetter"/>
      <w:lvlText w:val="%5."/>
      <w:lvlJc w:val="left"/>
      <w:pPr>
        <w:ind w:left="3589" w:hanging="360"/>
      </w:pPr>
    </w:lvl>
    <w:lvl w:ilvl="5" w:tplc="00228BB8">
      <w:start w:val="1"/>
      <w:numFmt w:val="lowerRoman"/>
      <w:lvlText w:val="%6."/>
      <w:lvlJc w:val="right"/>
      <w:pPr>
        <w:ind w:left="4309" w:hanging="180"/>
      </w:pPr>
    </w:lvl>
    <w:lvl w:ilvl="6" w:tplc="9B164330">
      <w:start w:val="1"/>
      <w:numFmt w:val="decimal"/>
      <w:lvlText w:val="%7."/>
      <w:lvlJc w:val="left"/>
      <w:pPr>
        <w:ind w:left="5029" w:hanging="360"/>
      </w:pPr>
    </w:lvl>
    <w:lvl w:ilvl="7" w:tplc="F2E24AE6">
      <w:start w:val="1"/>
      <w:numFmt w:val="lowerLetter"/>
      <w:lvlText w:val="%8."/>
      <w:lvlJc w:val="left"/>
      <w:pPr>
        <w:ind w:left="5749" w:hanging="360"/>
      </w:pPr>
    </w:lvl>
    <w:lvl w:ilvl="8" w:tplc="AA0AAB6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 w:tplc="A2A2A21E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hint="default" w:ascii="Symbol" w:hAnsi="Symbol" w:cs="Symbol"/>
      </w:rPr>
    </w:lvl>
    <w:lvl w:ilvl="1" w:tplc="E4D0A93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B9EAF69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D9007F5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826860F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0028714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1920564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3A82186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EAC410D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 w:tplc="E1A64A48">
      <w:start w:val="1"/>
      <w:numFmt w:val="bullet"/>
      <w:lvlText w:val=""/>
      <w:lvlJc w:val="left"/>
      <w:pPr>
        <w:tabs>
          <w:tab w:val="num" w:pos="0"/>
        </w:tabs>
        <w:ind w:left="1710" w:hanging="360"/>
      </w:pPr>
      <w:rPr>
        <w:rFonts w:hint="default" w:ascii="Wingdings" w:hAnsi="Wingdings" w:cs="Wingdings"/>
      </w:rPr>
    </w:lvl>
    <w:lvl w:ilvl="1" w:tplc="2D08E37A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hint="default" w:ascii="Courier New" w:hAnsi="Courier New" w:cs="Courier New"/>
      </w:rPr>
    </w:lvl>
    <w:lvl w:ilvl="2" w:tplc="4A7AA644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hint="default" w:ascii="Wingdings" w:hAnsi="Wingdings" w:cs="Wingdings"/>
      </w:rPr>
    </w:lvl>
    <w:lvl w:ilvl="3" w:tplc="31EC7F88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hint="default" w:ascii="Symbol" w:hAnsi="Symbol" w:cs="Symbol"/>
      </w:rPr>
    </w:lvl>
    <w:lvl w:ilvl="4" w:tplc="F2AEB2EE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hint="default" w:ascii="Courier New" w:hAnsi="Courier New" w:cs="Courier New"/>
      </w:rPr>
    </w:lvl>
    <w:lvl w:ilvl="5" w:tplc="E76E2E18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hint="default" w:ascii="Wingdings" w:hAnsi="Wingdings" w:cs="Wingdings"/>
      </w:rPr>
    </w:lvl>
    <w:lvl w:ilvl="6" w:tplc="A6E06980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hint="default" w:ascii="Symbol" w:hAnsi="Symbol" w:cs="Symbol"/>
      </w:rPr>
    </w:lvl>
    <w:lvl w:ilvl="7" w:tplc="B852D32E">
      <w:start w:val="1"/>
      <w:numFmt w:val="bullet"/>
      <w:lvlText w:val="o"/>
      <w:lvlJc w:val="left"/>
      <w:pPr>
        <w:tabs>
          <w:tab w:val="num" w:pos="0"/>
        </w:tabs>
        <w:ind w:left="6750" w:hanging="360"/>
      </w:pPr>
      <w:rPr>
        <w:rFonts w:hint="default" w:ascii="Courier New" w:hAnsi="Courier New" w:cs="Courier New"/>
      </w:rPr>
    </w:lvl>
    <w:lvl w:ilvl="8" w:tplc="3F6C8058">
      <w:start w:val="1"/>
      <w:numFmt w:val="bullet"/>
      <w:lvlText w:val=""/>
      <w:lvlJc w:val="left"/>
      <w:pPr>
        <w:tabs>
          <w:tab w:val="num" w:pos="0"/>
        </w:tabs>
        <w:ind w:left="7470" w:hanging="360"/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 w:tplc="3530B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AD0E4">
      <w:start w:val="1"/>
      <w:numFmt w:val="lowerLetter"/>
      <w:lvlText w:val="%2."/>
      <w:lvlJc w:val="left"/>
      <w:pPr>
        <w:ind w:left="1440" w:hanging="360"/>
      </w:pPr>
    </w:lvl>
    <w:lvl w:ilvl="2" w:tplc="695C83BE">
      <w:start w:val="1"/>
      <w:numFmt w:val="lowerRoman"/>
      <w:lvlText w:val="%3."/>
      <w:lvlJc w:val="right"/>
      <w:pPr>
        <w:ind w:left="2160" w:hanging="180"/>
      </w:pPr>
    </w:lvl>
    <w:lvl w:ilvl="3" w:tplc="7FE4D136">
      <w:start w:val="1"/>
      <w:numFmt w:val="decimal"/>
      <w:lvlText w:val="%4."/>
      <w:lvlJc w:val="left"/>
      <w:pPr>
        <w:ind w:left="2880" w:hanging="360"/>
      </w:pPr>
    </w:lvl>
    <w:lvl w:ilvl="4" w:tplc="90406B74">
      <w:start w:val="1"/>
      <w:numFmt w:val="lowerLetter"/>
      <w:lvlText w:val="%5."/>
      <w:lvlJc w:val="left"/>
      <w:pPr>
        <w:ind w:left="3600" w:hanging="360"/>
      </w:pPr>
    </w:lvl>
    <w:lvl w:ilvl="5" w:tplc="A9CEDF98">
      <w:start w:val="1"/>
      <w:numFmt w:val="lowerRoman"/>
      <w:lvlText w:val="%6."/>
      <w:lvlJc w:val="right"/>
      <w:pPr>
        <w:ind w:left="4320" w:hanging="180"/>
      </w:pPr>
    </w:lvl>
    <w:lvl w:ilvl="6" w:tplc="6E5AEAE2">
      <w:start w:val="1"/>
      <w:numFmt w:val="decimal"/>
      <w:lvlText w:val="%7."/>
      <w:lvlJc w:val="left"/>
      <w:pPr>
        <w:ind w:left="5040" w:hanging="360"/>
      </w:pPr>
    </w:lvl>
    <w:lvl w:ilvl="7" w:tplc="99421FE0">
      <w:start w:val="1"/>
      <w:numFmt w:val="lowerLetter"/>
      <w:lvlText w:val="%8."/>
      <w:lvlJc w:val="left"/>
      <w:pPr>
        <w:ind w:left="5760" w:hanging="360"/>
      </w:pPr>
    </w:lvl>
    <w:lvl w:ilvl="8" w:tplc="146AA6E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plc="CFDE0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5883A2">
      <w:start w:val="1"/>
      <w:numFmt w:val="lowerLetter"/>
      <w:lvlText w:val="%2."/>
      <w:lvlJc w:val="left"/>
      <w:pPr>
        <w:ind w:left="1440" w:hanging="360"/>
      </w:pPr>
    </w:lvl>
    <w:lvl w:ilvl="2" w:tplc="6BA88158">
      <w:start w:val="1"/>
      <w:numFmt w:val="lowerRoman"/>
      <w:lvlText w:val="%3."/>
      <w:lvlJc w:val="right"/>
      <w:pPr>
        <w:ind w:left="2160" w:hanging="180"/>
      </w:pPr>
    </w:lvl>
    <w:lvl w:ilvl="3" w:tplc="9CA037E8">
      <w:start w:val="1"/>
      <w:numFmt w:val="decimal"/>
      <w:lvlText w:val="%4."/>
      <w:lvlJc w:val="left"/>
      <w:pPr>
        <w:ind w:left="2880" w:hanging="360"/>
      </w:pPr>
    </w:lvl>
    <w:lvl w:ilvl="4" w:tplc="52AE2CF0">
      <w:start w:val="1"/>
      <w:numFmt w:val="lowerLetter"/>
      <w:lvlText w:val="%5."/>
      <w:lvlJc w:val="left"/>
      <w:pPr>
        <w:ind w:left="3600" w:hanging="360"/>
      </w:pPr>
    </w:lvl>
    <w:lvl w:ilvl="5" w:tplc="5F0266DA">
      <w:start w:val="1"/>
      <w:numFmt w:val="lowerRoman"/>
      <w:lvlText w:val="%6."/>
      <w:lvlJc w:val="right"/>
      <w:pPr>
        <w:ind w:left="4320" w:hanging="180"/>
      </w:pPr>
    </w:lvl>
    <w:lvl w:ilvl="6" w:tplc="27CAF96C">
      <w:start w:val="1"/>
      <w:numFmt w:val="decimal"/>
      <w:lvlText w:val="%7."/>
      <w:lvlJc w:val="left"/>
      <w:pPr>
        <w:ind w:left="5040" w:hanging="360"/>
      </w:pPr>
    </w:lvl>
    <w:lvl w:ilvl="7" w:tplc="2CCE218A">
      <w:start w:val="1"/>
      <w:numFmt w:val="lowerLetter"/>
      <w:lvlText w:val="%8."/>
      <w:lvlJc w:val="left"/>
      <w:pPr>
        <w:ind w:left="5760" w:hanging="360"/>
      </w:pPr>
    </w:lvl>
    <w:lvl w:ilvl="8" w:tplc="FE9E99A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plc="9C6C40AC">
      <w:start w:val="1"/>
      <w:numFmt w:val="decimal"/>
      <w:lvlText w:val="%1."/>
      <w:lvlJc w:val="left"/>
      <w:pPr>
        <w:ind w:left="709" w:hanging="360"/>
      </w:pPr>
    </w:lvl>
    <w:lvl w:ilvl="1" w:tplc="8BACE738">
      <w:start w:val="1"/>
      <w:numFmt w:val="lowerLetter"/>
      <w:lvlText w:val="%2."/>
      <w:lvlJc w:val="left"/>
      <w:pPr>
        <w:ind w:left="1429" w:hanging="360"/>
      </w:pPr>
    </w:lvl>
    <w:lvl w:ilvl="2" w:tplc="F3FC9DC2">
      <w:start w:val="1"/>
      <w:numFmt w:val="lowerRoman"/>
      <w:lvlText w:val="%3."/>
      <w:lvlJc w:val="right"/>
      <w:pPr>
        <w:ind w:left="2149" w:hanging="180"/>
      </w:pPr>
    </w:lvl>
    <w:lvl w:ilvl="3" w:tplc="8446E5B4">
      <w:start w:val="1"/>
      <w:numFmt w:val="decimal"/>
      <w:lvlText w:val="%4."/>
      <w:lvlJc w:val="left"/>
      <w:pPr>
        <w:ind w:left="2869" w:hanging="360"/>
      </w:pPr>
    </w:lvl>
    <w:lvl w:ilvl="4" w:tplc="D212A2CC">
      <w:start w:val="1"/>
      <w:numFmt w:val="lowerLetter"/>
      <w:lvlText w:val="%5."/>
      <w:lvlJc w:val="left"/>
      <w:pPr>
        <w:ind w:left="3589" w:hanging="360"/>
      </w:pPr>
    </w:lvl>
    <w:lvl w:ilvl="5" w:tplc="1AAA6FAE">
      <w:start w:val="1"/>
      <w:numFmt w:val="lowerRoman"/>
      <w:lvlText w:val="%6."/>
      <w:lvlJc w:val="right"/>
      <w:pPr>
        <w:ind w:left="4309" w:hanging="180"/>
      </w:pPr>
    </w:lvl>
    <w:lvl w:ilvl="6" w:tplc="C9AEAA96">
      <w:start w:val="1"/>
      <w:numFmt w:val="decimal"/>
      <w:lvlText w:val="%7."/>
      <w:lvlJc w:val="left"/>
      <w:pPr>
        <w:ind w:left="5029" w:hanging="360"/>
      </w:pPr>
    </w:lvl>
    <w:lvl w:ilvl="7" w:tplc="EA0EACD8">
      <w:start w:val="1"/>
      <w:numFmt w:val="lowerLetter"/>
      <w:lvlText w:val="%8."/>
      <w:lvlJc w:val="left"/>
      <w:pPr>
        <w:ind w:left="5749" w:hanging="360"/>
      </w:pPr>
    </w:lvl>
    <w:lvl w:ilvl="8" w:tplc="5BDEECE0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 w:tplc="6F9C12B4">
      <w:start w:val="1"/>
      <w:numFmt w:val="decimal"/>
      <w:lvlText w:val="%1."/>
      <w:lvlJc w:val="left"/>
      <w:pPr>
        <w:ind w:left="709" w:hanging="360"/>
      </w:pPr>
    </w:lvl>
    <w:lvl w:ilvl="1" w:tplc="CB76E4B8">
      <w:start w:val="1"/>
      <w:numFmt w:val="lowerLetter"/>
      <w:lvlText w:val="%2."/>
      <w:lvlJc w:val="left"/>
      <w:pPr>
        <w:ind w:left="1429" w:hanging="360"/>
      </w:pPr>
    </w:lvl>
    <w:lvl w:ilvl="2" w:tplc="18FE3018">
      <w:start w:val="1"/>
      <w:numFmt w:val="lowerRoman"/>
      <w:lvlText w:val="%3."/>
      <w:lvlJc w:val="right"/>
      <w:pPr>
        <w:ind w:left="2149" w:hanging="180"/>
      </w:pPr>
    </w:lvl>
    <w:lvl w:ilvl="3" w:tplc="965A7692">
      <w:start w:val="1"/>
      <w:numFmt w:val="decimal"/>
      <w:lvlText w:val="%4."/>
      <w:lvlJc w:val="left"/>
      <w:pPr>
        <w:ind w:left="2869" w:hanging="360"/>
      </w:pPr>
    </w:lvl>
    <w:lvl w:ilvl="4" w:tplc="4ACE4924">
      <w:start w:val="1"/>
      <w:numFmt w:val="lowerLetter"/>
      <w:lvlText w:val="%5."/>
      <w:lvlJc w:val="left"/>
      <w:pPr>
        <w:ind w:left="3589" w:hanging="360"/>
      </w:pPr>
    </w:lvl>
    <w:lvl w:ilvl="5" w:tplc="74902B2A">
      <w:start w:val="1"/>
      <w:numFmt w:val="lowerRoman"/>
      <w:lvlText w:val="%6."/>
      <w:lvlJc w:val="right"/>
      <w:pPr>
        <w:ind w:left="4309" w:hanging="180"/>
      </w:pPr>
    </w:lvl>
    <w:lvl w:ilvl="6" w:tplc="3EBAB5C2">
      <w:start w:val="1"/>
      <w:numFmt w:val="decimal"/>
      <w:lvlText w:val="%7."/>
      <w:lvlJc w:val="left"/>
      <w:pPr>
        <w:ind w:left="5029" w:hanging="360"/>
      </w:pPr>
    </w:lvl>
    <w:lvl w:ilvl="7" w:tplc="795E6796">
      <w:start w:val="1"/>
      <w:numFmt w:val="lowerLetter"/>
      <w:lvlText w:val="%8."/>
      <w:lvlJc w:val="left"/>
      <w:pPr>
        <w:ind w:left="5749" w:hanging="360"/>
      </w:pPr>
    </w:lvl>
    <w:lvl w:ilvl="8" w:tplc="4A46B0AA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 w:tplc="791208CA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hint="default" w:ascii="Symbol" w:hAnsi="Symbol" w:cs="Symbol"/>
      </w:rPr>
    </w:lvl>
    <w:lvl w:ilvl="1" w:tplc="777C522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23748E9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9BBADD06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ADC6F66C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1AE4DCA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B218ED9C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1D5CC192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7AA0C052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 w:tplc="A6C8CEDA">
      <w:start w:val="1"/>
      <w:numFmt w:val="bullet"/>
      <w:lvlText w:val="–"/>
      <w:lvlJc w:val="left"/>
      <w:pPr>
        <w:ind w:left="709" w:hanging="360"/>
      </w:pPr>
      <w:rPr>
        <w:rFonts w:hint="default" w:ascii="Arial" w:hAnsi="Arial" w:eastAsia="Arial" w:cs="Arial"/>
        <w:highlight w:val="white"/>
      </w:rPr>
    </w:lvl>
    <w:lvl w:ilvl="1" w:tplc="3B6A9B52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 w:tplc="376C960C">
      <w:start w:val="1"/>
      <w:numFmt w:val="bullet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 w:tplc="C0B09558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 w:tplc="C300654A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 w:tplc="5F548A24">
      <w:start w:val="1"/>
      <w:numFmt w:val="bullet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 w:tplc="01D0F930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 w:tplc="5D38BC9A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 w:tplc="D22A3ABE">
      <w:start w:val="1"/>
      <w:numFmt w:val="bullet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 w:tplc="61BE42DE">
      <w:start w:val="1"/>
      <w:numFmt w:val="decimal"/>
      <w:lvlText w:val="%1."/>
      <w:lvlJc w:val="left"/>
      <w:pPr>
        <w:ind w:left="709" w:hanging="360"/>
      </w:pPr>
    </w:lvl>
    <w:lvl w:ilvl="1" w:tplc="CDA6E6A0">
      <w:start w:val="1"/>
      <w:numFmt w:val="lowerLetter"/>
      <w:lvlText w:val="%2."/>
      <w:lvlJc w:val="left"/>
      <w:pPr>
        <w:ind w:left="1429" w:hanging="360"/>
      </w:pPr>
    </w:lvl>
    <w:lvl w:ilvl="2" w:tplc="2B8C2790">
      <w:start w:val="1"/>
      <w:numFmt w:val="lowerRoman"/>
      <w:lvlText w:val="%3."/>
      <w:lvlJc w:val="right"/>
      <w:pPr>
        <w:ind w:left="2149" w:hanging="180"/>
      </w:pPr>
    </w:lvl>
    <w:lvl w:ilvl="3" w:tplc="154692B8">
      <w:start w:val="1"/>
      <w:numFmt w:val="decimal"/>
      <w:lvlText w:val="%4."/>
      <w:lvlJc w:val="left"/>
      <w:pPr>
        <w:ind w:left="2869" w:hanging="360"/>
      </w:pPr>
    </w:lvl>
    <w:lvl w:ilvl="4" w:tplc="0AF25036">
      <w:start w:val="1"/>
      <w:numFmt w:val="lowerLetter"/>
      <w:lvlText w:val="%5."/>
      <w:lvlJc w:val="left"/>
      <w:pPr>
        <w:ind w:left="3589" w:hanging="360"/>
      </w:pPr>
    </w:lvl>
    <w:lvl w:ilvl="5" w:tplc="7AD0E06E">
      <w:start w:val="1"/>
      <w:numFmt w:val="lowerRoman"/>
      <w:lvlText w:val="%6."/>
      <w:lvlJc w:val="right"/>
      <w:pPr>
        <w:ind w:left="4309" w:hanging="180"/>
      </w:pPr>
    </w:lvl>
    <w:lvl w:ilvl="6" w:tplc="8EAA7466">
      <w:start w:val="1"/>
      <w:numFmt w:val="decimal"/>
      <w:lvlText w:val="%7."/>
      <w:lvlJc w:val="left"/>
      <w:pPr>
        <w:ind w:left="5029" w:hanging="360"/>
      </w:pPr>
    </w:lvl>
    <w:lvl w:ilvl="7" w:tplc="F30E0DF8">
      <w:start w:val="1"/>
      <w:numFmt w:val="lowerLetter"/>
      <w:lvlText w:val="%8."/>
      <w:lvlJc w:val="left"/>
      <w:pPr>
        <w:ind w:left="5749" w:hanging="360"/>
      </w:pPr>
    </w:lvl>
    <w:lvl w:ilvl="8" w:tplc="2F6217AE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 w:tplc="DD965020">
      <w:start w:val="1"/>
      <w:numFmt w:val="decimal"/>
      <w:lvlText w:val="%1."/>
      <w:lvlJc w:val="left"/>
      <w:pPr>
        <w:ind w:left="709" w:hanging="360"/>
      </w:pPr>
    </w:lvl>
    <w:lvl w:ilvl="1" w:tplc="44C0D3A2">
      <w:start w:val="1"/>
      <w:numFmt w:val="lowerLetter"/>
      <w:lvlText w:val="%2."/>
      <w:lvlJc w:val="left"/>
      <w:pPr>
        <w:ind w:left="1429" w:hanging="360"/>
      </w:pPr>
    </w:lvl>
    <w:lvl w:ilvl="2" w:tplc="8A2C3394">
      <w:start w:val="1"/>
      <w:numFmt w:val="lowerRoman"/>
      <w:lvlText w:val="%3."/>
      <w:lvlJc w:val="right"/>
      <w:pPr>
        <w:ind w:left="2149" w:hanging="180"/>
      </w:pPr>
    </w:lvl>
    <w:lvl w:ilvl="3" w:tplc="3196A5BE">
      <w:start w:val="1"/>
      <w:numFmt w:val="decimal"/>
      <w:lvlText w:val="%4."/>
      <w:lvlJc w:val="left"/>
      <w:pPr>
        <w:ind w:left="2869" w:hanging="360"/>
      </w:pPr>
    </w:lvl>
    <w:lvl w:ilvl="4" w:tplc="1334FBDE">
      <w:start w:val="1"/>
      <w:numFmt w:val="lowerLetter"/>
      <w:lvlText w:val="%5."/>
      <w:lvlJc w:val="left"/>
      <w:pPr>
        <w:ind w:left="3589" w:hanging="360"/>
      </w:pPr>
    </w:lvl>
    <w:lvl w:ilvl="5" w:tplc="1D2EED62">
      <w:start w:val="1"/>
      <w:numFmt w:val="lowerRoman"/>
      <w:lvlText w:val="%6."/>
      <w:lvlJc w:val="right"/>
      <w:pPr>
        <w:ind w:left="4309" w:hanging="180"/>
      </w:pPr>
    </w:lvl>
    <w:lvl w:ilvl="6" w:tplc="685C172A">
      <w:start w:val="1"/>
      <w:numFmt w:val="decimal"/>
      <w:lvlText w:val="%7."/>
      <w:lvlJc w:val="left"/>
      <w:pPr>
        <w:ind w:left="5029" w:hanging="360"/>
      </w:pPr>
    </w:lvl>
    <w:lvl w:ilvl="7" w:tplc="09544F5E">
      <w:start w:val="1"/>
      <w:numFmt w:val="lowerLetter"/>
      <w:lvlText w:val="%8."/>
      <w:lvlJc w:val="left"/>
      <w:pPr>
        <w:ind w:left="5749" w:hanging="360"/>
      </w:pPr>
    </w:lvl>
    <w:lvl w:ilvl="8" w:tplc="4D7A9134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 w:tplc="9754FF3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</w:rPr>
    </w:lvl>
    <w:lvl w:ilvl="1" w:tplc="78E45E7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6F52245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9A285A3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38A8E57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3ACE407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6C683BF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6D9A369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8194999C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 w:tplc="7442A352">
      <w:start w:val="1"/>
      <w:numFmt w:val="decimal"/>
      <w:lvlText w:val="%1."/>
      <w:lvlJc w:val="left"/>
      <w:pPr>
        <w:ind w:left="709" w:hanging="360"/>
      </w:pPr>
    </w:lvl>
    <w:lvl w:ilvl="1" w:tplc="05420238">
      <w:start w:val="1"/>
      <w:numFmt w:val="lowerLetter"/>
      <w:lvlText w:val="%2."/>
      <w:lvlJc w:val="left"/>
      <w:pPr>
        <w:ind w:left="1429" w:hanging="360"/>
      </w:pPr>
    </w:lvl>
    <w:lvl w:ilvl="2" w:tplc="71D8E8C8">
      <w:start w:val="1"/>
      <w:numFmt w:val="lowerRoman"/>
      <w:lvlText w:val="%3."/>
      <w:lvlJc w:val="right"/>
      <w:pPr>
        <w:ind w:left="2149" w:hanging="180"/>
      </w:pPr>
    </w:lvl>
    <w:lvl w:ilvl="3" w:tplc="F7A8A78C">
      <w:start w:val="1"/>
      <w:numFmt w:val="decimal"/>
      <w:lvlText w:val="%4."/>
      <w:lvlJc w:val="left"/>
      <w:pPr>
        <w:ind w:left="2869" w:hanging="360"/>
      </w:pPr>
    </w:lvl>
    <w:lvl w:ilvl="4" w:tplc="54CCA19C">
      <w:start w:val="1"/>
      <w:numFmt w:val="lowerLetter"/>
      <w:lvlText w:val="%5."/>
      <w:lvlJc w:val="left"/>
      <w:pPr>
        <w:ind w:left="3589" w:hanging="360"/>
      </w:pPr>
    </w:lvl>
    <w:lvl w:ilvl="5" w:tplc="5E5A2216">
      <w:start w:val="1"/>
      <w:numFmt w:val="lowerRoman"/>
      <w:lvlText w:val="%6."/>
      <w:lvlJc w:val="right"/>
      <w:pPr>
        <w:ind w:left="4309" w:hanging="180"/>
      </w:pPr>
    </w:lvl>
    <w:lvl w:ilvl="6" w:tplc="0B1C96B0">
      <w:start w:val="1"/>
      <w:numFmt w:val="decimal"/>
      <w:lvlText w:val="%7."/>
      <w:lvlJc w:val="left"/>
      <w:pPr>
        <w:ind w:left="5029" w:hanging="360"/>
      </w:pPr>
    </w:lvl>
    <w:lvl w:ilvl="7" w:tplc="746CC32E">
      <w:start w:val="1"/>
      <w:numFmt w:val="lowerLetter"/>
      <w:lvlText w:val="%8."/>
      <w:lvlJc w:val="left"/>
      <w:pPr>
        <w:ind w:left="5749" w:hanging="360"/>
      </w:pPr>
    </w:lvl>
    <w:lvl w:ilvl="8" w:tplc="4E707250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 w:tplc="C080815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color w:val="000000" w:themeColor="text1"/>
      </w:rPr>
    </w:lvl>
    <w:lvl w:ilvl="1" w:tplc="5FDC0A7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0EA6488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EC1EE6C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EF20520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B6BA799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46660F7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98B8358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023623D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 w:tplc="11A2F1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DE66AA4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hint="default" w:ascii="Wingdings" w:hAnsi="Wingdings" w:cs="Wingdings"/>
      </w:rPr>
    </w:lvl>
    <w:lvl w:ilvl="2" w:tplc="A59E4A8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09A8EE7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4" w:tplc="76421BA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hint="default" w:ascii="Wingdings" w:hAnsi="Wingdings" w:cs="Wingdings"/>
      </w:rPr>
    </w:lvl>
    <w:lvl w:ilvl="5" w:tplc="5E2A01F2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0332146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  <w:lvl w:ilvl="7" w:tplc="DD2C662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hint="default" w:ascii="Wingdings" w:hAnsi="Wingdings" w:cs="Wingdings"/>
      </w:rPr>
    </w:lvl>
    <w:lvl w:ilvl="8" w:tplc="657E2F5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 w:tplc="7658775A">
      <w:start w:val="1"/>
      <w:numFmt w:val="bullet"/>
      <w:lvlText w:val=""/>
      <w:lvlJc w:val="left"/>
      <w:pPr>
        <w:tabs>
          <w:tab w:val="num" w:pos="0"/>
        </w:tabs>
        <w:ind w:left="1429" w:hanging="360"/>
      </w:pPr>
      <w:rPr>
        <w:rFonts w:hint="default" w:ascii="Wingdings" w:hAnsi="Wingdings" w:cs="Wingdings"/>
      </w:rPr>
    </w:lvl>
    <w:lvl w:ilvl="1" w:tplc="44EC923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F24A8FF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7FD0D272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E53E0C88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096CD598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BC20B0CE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59FA4538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D2F210C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 w:tplc="2F041858">
      <w:start w:val="1"/>
      <w:numFmt w:val="bullet"/>
      <w:lvlText w:val=""/>
      <w:lvlJc w:val="left"/>
      <w:pPr>
        <w:tabs>
          <w:tab w:val="num" w:pos="0"/>
        </w:tabs>
        <w:ind w:left="1440" w:hanging="360"/>
      </w:pPr>
      <w:rPr>
        <w:rFonts w:hint="default" w:ascii="Wingdings" w:hAnsi="Wingdings" w:cs="Wingdings"/>
      </w:rPr>
    </w:lvl>
    <w:lvl w:ilvl="1" w:tplc="635AD606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hint="default" w:ascii="Courier New" w:hAnsi="Courier New" w:cs="Courier New"/>
      </w:rPr>
    </w:lvl>
    <w:lvl w:ilvl="2" w:tplc="2FEE1FCC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hint="default" w:ascii="Wingdings" w:hAnsi="Wingdings" w:cs="Wingdings"/>
      </w:rPr>
    </w:lvl>
    <w:lvl w:ilvl="3" w:tplc="50B822E0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hint="default" w:ascii="Symbol" w:hAnsi="Symbol" w:cs="Symbol"/>
      </w:rPr>
    </w:lvl>
    <w:lvl w:ilvl="4" w:tplc="6616EE1E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hint="default" w:ascii="Courier New" w:hAnsi="Courier New" w:cs="Courier New"/>
      </w:rPr>
    </w:lvl>
    <w:lvl w:ilvl="5" w:tplc="AC04B3A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hint="default" w:ascii="Wingdings" w:hAnsi="Wingdings" w:cs="Wingdings"/>
      </w:rPr>
    </w:lvl>
    <w:lvl w:ilvl="6" w:tplc="5B8EB71E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hint="default" w:ascii="Symbol" w:hAnsi="Symbol" w:cs="Symbol"/>
      </w:rPr>
    </w:lvl>
    <w:lvl w:ilvl="7" w:tplc="A258AC3C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hint="default" w:ascii="Courier New" w:hAnsi="Courier New" w:cs="Courier New"/>
      </w:rPr>
    </w:lvl>
    <w:lvl w:ilvl="8" w:tplc="1A50E39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 w:tplc="9F1A5222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hint="default" w:ascii="Symbol" w:hAnsi="Symbol" w:cs="Symbol"/>
      </w:rPr>
    </w:lvl>
    <w:lvl w:ilvl="1" w:tplc="50A64C9C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hint="default" w:ascii="Courier New" w:hAnsi="Courier New" w:cs="Courier New"/>
      </w:rPr>
    </w:lvl>
    <w:lvl w:ilvl="2" w:tplc="5C8494C2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hint="default" w:ascii="Wingdings" w:hAnsi="Wingdings" w:cs="Wingdings"/>
      </w:rPr>
    </w:lvl>
    <w:lvl w:ilvl="3" w:tplc="6F186382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hint="default" w:ascii="Symbol" w:hAnsi="Symbol" w:cs="Symbol"/>
      </w:rPr>
    </w:lvl>
    <w:lvl w:ilvl="4" w:tplc="DEBA3FA8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hint="default" w:ascii="Courier New" w:hAnsi="Courier New" w:cs="Courier New"/>
      </w:rPr>
    </w:lvl>
    <w:lvl w:ilvl="5" w:tplc="79064B14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hint="default" w:ascii="Wingdings" w:hAnsi="Wingdings" w:cs="Wingdings"/>
      </w:rPr>
    </w:lvl>
    <w:lvl w:ilvl="6" w:tplc="BBA4298A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hint="default" w:ascii="Symbol" w:hAnsi="Symbol" w:cs="Symbol"/>
      </w:rPr>
    </w:lvl>
    <w:lvl w:ilvl="7" w:tplc="E1AE7648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hint="default" w:ascii="Courier New" w:hAnsi="Courier New" w:cs="Courier New"/>
      </w:rPr>
    </w:lvl>
    <w:lvl w:ilvl="8" w:tplc="1452DB6C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 w:tplc="5EDCA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7A7F3A">
      <w:start w:val="1"/>
      <w:numFmt w:val="lowerLetter"/>
      <w:lvlText w:val="%2."/>
      <w:lvlJc w:val="left"/>
      <w:pPr>
        <w:ind w:left="1440" w:hanging="360"/>
      </w:pPr>
    </w:lvl>
    <w:lvl w:ilvl="2" w:tplc="66D4688A">
      <w:start w:val="1"/>
      <w:numFmt w:val="lowerRoman"/>
      <w:lvlText w:val="%3."/>
      <w:lvlJc w:val="right"/>
      <w:pPr>
        <w:ind w:left="2160" w:hanging="180"/>
      </w:pPr>
    </w:lvl>
    <w:lvl w:ilvl="3" w:tplc="0EF4F676">
      <w:start w:val="1"/>
      <w:numFmt w:val="decimal"/>
      <w:lvlText w:val="%4."/>
      <w:lvlJc w:val="left"/>
      <w:pPr>
        <w:ind w:left="2880" w:hanging="360"/>
      </w:pPr>
    </w:lvl>
    <w:lvl w:ilvl="4" w:tplc="A182A220">
      <w:start w:val="1"/>
      <w:numFmt w:val="lowerLetter"/>
      <w:lvlText w:val="%5."/>
      <w:lvlJc w:val="left"/>
      <w:pPr>
        <w:ind w:left="3600" w:hanging="360"/>
      </w:pPr>
    </w:lvl>
    <w:lvl w:ilvl="5" w:tplc="44609DFE">
      <w:start w:val="1"/>
      <w:numFmt w:val="lowerRoman"/>
      <w:lvlText w:val="%6."/>
      <w:lvlJc w:val="right"/>
      <w:pPr>
        <w:ind w:left="4320" w:hanging="180"/>
      </w:pPr>
    </w:lvl>
    <w:lvl w:ilvl="6" w:tplc="AC0CDB06">
      <w:start w:val="1"/>
      <w:numFmt w:val="decimal"/>
      <w:lvlText w:val="%7."/>
      <w:lvlJc w:val="left"/>
      <w:pPr>
        <w:ind w:left="5040" w:hanging="360"/>
      </w:pPr>
    </w:lvl>
    <w:lvl w:ilvl="7" w:tplc="29CCBA94">
      <w:start w:val="1"/>
      <w:numFmt w:val="lowerLetter"/>
      <w:lvlText w:val="%8."/>
      <w:lvlJc w:val="left"/>
      <w:pPr>
        <w:ind w:left="5760" w:hanging="360"/>
      </w:pPr>
    </w:lvl>
    <w:lvl w:ilvl="8" w:tplc="4F96A9E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plc="0C5C9AE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 w:tplc="1834E5B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4E5440A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5D1C901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549447A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823CBE8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107E239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2332C07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7E4A4CD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 w:tplc="D03050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1847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8EACD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C4255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E32E4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41A74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ECCD3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98CBB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E3827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multiLevelType w:val="hybridMultilevel"/>
    <w:lvl w:ilvl="0" w:tplc="73D0855C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hint="default" w:ascii="Symbol" w:hAnsi="Symbol"/>
        <w:color w:val="000000" w:themeColor="text1"/>
      </w:rPr>
    </w:lvl>
    <w:lvl w:ilvl="1" w:tplc="C068EE9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0CC8CB7A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7E4ED368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E3A82B8C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16145504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DA9629FA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B0C63B7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5004404C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22">
    <w:multiLevelType w:val="hybridMultilevel"/>
    <w:lvl w:ilvl="0" w:tplc="12884DE4">
      <w:start w:val="1"/>
      <w:numFmt w:val="bullet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 w:tplc="A4A491AC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 w:tplc="F64C58A0">
      <w:start w:val="1"/>
      <w:numFmt w:val="bullet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 w:tplc="6C184392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 w:tplc="C3AAE1AE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 w:tplc="6DCED18A">
      <w:start w:val="1"/>
      <w:numFmt w:val="bullet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 w:tplc="4850AD82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 w:tplc="EB5A9368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 w:tplc="A112A88A">
      <w:start w:val="1"/>
      <w:numFmt w:val="bullet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 w:tplc="B0E6144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E4EE002C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 w:tplc="DEC0060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 w:tplc="DBEA6126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 w:tplc="7AE41AE2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 w:tplc="BD6C8D10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 w:tplc="1C0A1CA2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 w:tplc="FB882E30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 w:tplc="44AA979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>
    <w:multiLevelType w:val="hybridMultilevel"/>
    <w:lvl w:ilvl="0" w:tplc="3C3E7E44">
      <w:start w:val="1"/>
      <w:numFmt w:val="bullet"/>
      <w:lvlText w:val=""/>
      <w:lvlJc w:val="left"/>
      <w:pPr>
        <w:tabs>
          <w:tab w:val="num" w:pos="-720"/>
        </w:tabs>
        <w:ind w:left="360" w:hanging="360"/>
      </w:pPr>
      <w:rPr>
        <w:rFonts w:hint="default" w:ascii="Symbol" w:hAnsi="Symbol" w:cs="Symbol"/>
      </w:rPr>
    </w:lvl>
    <w:lvl w:ilvl="1" w:tplc="87E272CC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hint="default" w:ascii="Courier New" w:hAnsi="Courier New" w:cs="Courier New"/>
      </w:rPr>
    </w:lvl>
    <w:lvl w:ilvl="2" w:tplc="8E92DDDE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hint="default" w:ascii="Wingdings" w:hAnsi="Wingdings" w:cs="Wingdings"/>
      </w:rPr>
    </w:lvl>
    <w:lvl w:ilvl="3" w:tplc="4440B63C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hint="default" w:ascii="Symbol" w:hAnsi="Symbol" w:cs="Symbol"/>
      </w:rPr>
    </w:lvl>
    <w:lvl w:ilvl="4" w:tplc="953CBB5E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hint="default" w:ascii="Courier New" w:hAnsi="Courier New" w:cs="Courier New"/>
      </w:rPr>
    </w:lvl>
    <w:lvl w:ilvl="5" w:tplc="8E083FEA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hint="default" w:ascii="Wingdings" w:hAnsi="Wingdings" w:cs="Wingdings"/>
      </w:rPr>
    </w:lvl>
    <w:lvl w:ilvl="6" w:tplc="475E34D4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hint="default" w:ascii="Symbol" w:hAnsi="Symbol" w:cs="Symbol"/>
      </w:rPr>
    </w:lvl>
    <w:lvl w:ilvl="7" w:tplc="165AD74E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hint="default" w:ascii="Courier New" w:hAnsi="Courier New" w:cs="Courier New"/>
      </w:rPr>
    </w:lvl>
    <w:lvl w:ilvl="8" w:tplc="67D2832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hint="default" w:ascii="Wingdings" w:hAnsi="Wingdings" w:cs="Wingdings"/>
      </w:rPr>
    </w:lvl>
  </w:abstractNum>
  <w:abstractNum w:abstractNumId="25">
    <w:multiLevelType w:val="hybridMultilevel"/>
    <w:lvl w:ilvl="0" w:tplc="62361726">
      <w:start w:val="1"/>
      <w:numFmt w:val="decimal"/>
      <w:lvlText w:val="%1."/>
      <w:lvlJc w:val="left"/>
      <w:pPr>
        <w:ind w:left="709" w:hanging="360"/>
      </w:pPr>
    </w:lvl>
    <w:lvl w:ilvl="1" w:tplc="8EBC4638">
      <w:start w:val="1"/>
      <w:numFmt w:val="lowerLetter"/>
      <w:lvlText w:val="%2."/>
      <w:lvlJc w:val="left"/>
      <w:pPr>
        <w:ind w:left="1429" w:hanging="360"/>
      </w:pPr>
    </w:lvl>
    <w:lvl w:ilvl="2" w:tplc="5CF6A1C6">
      <w:start w:val="1"/>
      <w:numFmt w:val="lowerRoman"/>
      <w:lvlText w:val="%3."/>
      <w:lvlJc w:val="right"/>
      <w:pPr>
        <w:ind w:left="2149" w:hanging="180"/>
      </w:pPr>
    </w:lvl>
    <w:lvl w:ilvl="3" w:tplc="D3EC9BB6">
      <w:start w:val="1"/>
      <w:numFmt w:val="decimal"/>
      <w:lvlText w:val="%4."/>
      <w:lvlJc w:val="left"/>
      <w:pPr>
        <w:ind w:left="2869" w:hanging="360"/>
      </w:pPr>
    </w:lvl>
    <w:lvl w:ilvl="4" w:tplc="322404E6">
      <w:start w:val="1"/>
      <w:numFmt w:val="lowerLetter"/>
      <w:lvlText w:val="%5."/>
      <w:lvlJc w:val="left"/>
      <w:pPr>
        <w:ind w:left="3589" w:hanging="360"/>
      </w:pPr>
    </w:lvl>
    <w:lvl w:ilvl="5" w:tplc="6804B918">
      <w:start w:val="1"/>
      <w:numFmt w:val="lowerRoman"/>
      <w:lvlText w:val="%6."/>
      <w:lvlJc w:val="right"/>
      <w:pPr>
        <w:ind w:left="4309" w:hanging="180"/>
      </w:pPr>
    </w:lvl>
    <w:lvl w:ilvl="6" w:tplc="6720C4A0">
      <w:start w:val="1"/>
      <w:numFmt w:val="decimal"/>
      <w:lvlText w:val="%7."/>
      <w:lvlJc w:val="left"/>
      <w:pPr>
        <w:ind w:left="5029" w:hanging="360"/>
      </w:pPr>
    </w:lvl>
    <w:lvl w:ilvl="7" w:tplc="E1926396">
      <w:start w:val="1"/>
      <w:numFmt w:val="lowerLetter"/>
      <w:lvlText w:val="%8."/>
      <w:lvlJc w:val="left"/>
      <w:pPr>
        <w:ind w:left="5749" w:hanging="360"/>
      </w:pPr>
    </w:lvl>
    <w:lvl w:ilvl="8" w:tplc="C5ACD56C">
      <w:start w:val="1"/>
      <w:numFmt w:val="lowerRoman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 w:tplc="62549064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hint="default" w:ascii="Symbol" w:hAnsi="Symbol" w:cs="Symbol"/>
      </w:rPr>
    </w:lvl>
    <w:lvl w:ilvl="1" w:tplc="F4169BC8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hint="default" w:ascii="Courier New" w:hAnsi="Courier New" w:cs="Courier New"/>
      </w:rPr>
    </w:lvl>
    <w:lvl w:ilvl="2" w:tplc="B2586936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hint="default" w:ascii="Wingdings" w:hAnsi="Wingdings" w:cs="Wingdings"/>
      </w:rPr>
    </w:lvl>
    <w:lvl w:ilvl="3" w:tplc="BA4C7A0A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hint="default" w:ascii="Symbol" w:hAnsi="Symbol" w:cs="Symbol"/>
      </w:rPr>
    </w:lvl>
    <w:lvl w:ilvl="4" w:tplc="56E26F38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hint="default" w:ascii="Courier New" w:hAnsi="Courier New" w:cs="Courier New"/>
      </w:rPr>
    </w:lvl>
    <w:lvl w:ilvl="5" w:tplc="58F65614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hint="default" w:ascii="Wingdings" w:hAnsi="Wingdings" w:cs="Wingdings"/>
      </w:rPr>
    </w:lvl>
    <w:lvl w:ilvl="6" w:tplc="C2E8E318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hint="default" w:ascii="Symbol" w:hAnsi="Symbol" w:cs="Symbol"/>
      </w:rPr>
    </w:lvl>
    <w:lvl w:ilvl="7" w:tplc="CD2469A6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hint="default" w:ascii="Courier New" w:hAnsi="Courier New" w:cs="Courier New"/>
      </w:rPr>
    </w:lvl>
    <w:lvl w:ilvl="8" w:tplc="5FE4160C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 w:tplc="FA96D7D8">
      <w:start w:val="1"/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hint="default" w:ascii="Symbol" w:hAnsi="Symbol" w:cs="Symbol"/>
      </w:rPr>
    </w:lvl>
    <w:lvl w:ilvl="1" w:tplc="F2F8ACDA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hint="default" w:ascii="Courier New" w:hAnsi="Courier New" w:cs="Courier New"/>
      </w:rPr>
    </w:lvl>
    <w:lvl w:ilvl="2" w:tplc="A8A4355C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hint="default" w:ascii="Wingdings" w:hAnsi="Wingdings" w:cs="Wingdings"/>
      </w:rPr>
    </w:lvl>
    <w:lvl w:ilvl="3" w:tplc="703645E4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hint="default" w:ascii="Symbol" w:hAnsi="Symbol" w:cs="Symbol"/>
      </w:rPr>
    </w:lvl>
    <w:lvl w:ilvl="4" w:tplc="BFB4F1E2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hint="default" w:ascii="Courier New" w:hAnsi="Courier New" w:cs="Courier New"/>
      </w:rPr>
    </w:lvl>
    <w:lvl w:ilvl="5" w:tplc="0F2EBCAE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hint="default" w:ascii="Wingdings" w:hAnsi="Wingdings" w:cs="Wingdings"/>
      </w:rPr>
    </w:lvl>
    <w:lvl w:ilvl="6" w:tplc="19788B46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hint="default" w:ascii="Symbol" w:hAnsi="Symbol" w:cs="Symbol"/>
      </w:rPr>
    </w:lvl>
    <w:lvl w:ilvl="7" w:tplc="9310484C">
      <w:start w:val="1"/>
      <w:numFmt w:val="bullet"/>
      <w:lvlText w:val="o"/>
      <w:lvlJc w:val="left"/>
      <w:pPr>
        <w:tabs>
          <w:tab w:val="num" w:pos="0"/>
        </w:tabs>
        <w:ind w:left="6750" w:hanging="360"/>
      </w:pPr>
      <w:rPr>
        <w:rFonts w:hint="default" w:ascii="Courier New" w:hAnsi="Courier New" w:cs="Courier New"/>
      </w:rPr>
    </w:lvl>
    <w:lvl w:ilvl="8" w:tplc="EA485962">
      <w:start w:val="1"/>
      <w:numFmt w:val="bullet"/>
      <w:lvlText w:val=""/>
      <w:lvlJc w:val="left"/>
      <w:pPr>
        <w:tabs>
          <w:tab w:val="num" w:pos="0"/>
        </w:tabs>
        <w:ind w:left="7470" w:hanging="360"/>
      </w:pPr>
      <w:rPr>
        <w:rFonts w:hint="default" w:ascii="Wingdings" w:hAnsi="Wingdings" w:cs="Wingdings"/>
      </w:rPr>
    </w:lvl>
  </w:abstractNum>
  <w:abstractNum w:abstractNumId="28">
    <w:multiLevelType w:val="hybridMultilevel"/>
    <w:lvl w:ilvl="0" w:tplc="D336540E">
      <w:start w:val="1"/>
      <w:numFmt w:val="decimal"/>
      <w:lvlText w:val="%1."/>
      <w:lvlJc w:val="left"/>
      <w:pPr>
        <w:ind w:left="709" w:hanging="360"/>
      </w:pPr>
    </w:lvl>
    <w:lvl w:ilvl="1" w:tplc="0DB8B994">
      <w:start w:val="1"/>
      <w:numFmt w:val="lowerLetter"/>
      <w:lvlText w:val="%2."/>
      <w:lvlJc w:val="left"/>
      <w:pPr>
        <w:ind w:left="1429" w:hanging="360"/>
      </w:pPr>
    </w:lvl>
    <w:lvl w:ilvl="2" w:tplc="12081F16">
      <w:start w:val="1"/>
      <w:numFmt w:val="lowerRoman"/>
      <w:lvlText w:val="%3."/>
      <w:lvlJc w:val="right"/>
      <w:pPr>
        <w:ind w:left="2149" w:hanging="180"/>
      </w:pPr>
    </w:lvl>
    <w:lvl w:ilvl="3" w:tplc="DAF2102E">
      <w:start w:val="1"/>
      <w:numFmt w:val="decimal"/>
      <w:lvlText w:val="%4."/>
      <w:lvlJc w:val="left"/>
      <w:pPr>
        <w:ind w:left="2869" w:hanging="360"/>
      </w:pPr>
    </w:lvl>
    <w:lvl w:ilvl="4" w:tplc="1AD0FDA6">
      <w:start w:val="1"/>
      <w:numFmt w:val="lowerLetter"/>
      <w:lvlText w:val="%5."/>
      <w:lvlJc w:val="left"/>
      <w:pPr>
        <w:ind w:left="3589" w:hanging="360"/>
      </w:pPr>
    </w:lvl>
    <w:lvl w:ilvl="5" w:tplc="7E38CACA">
      <w:start w:val="1"/>
      <w:numFmt w:val="lowerRoman"/>
      <w:lvlText w:val="%6."/>
      <w:lvlJc w:val="right"/>
      <w:pPr>
        <w:ind w:left="4309" w:hanging="180"/>
      </w:pPr>
    </w:lvl>
    <w:lvl w:ilvl="6" w:tplc="3302652C">
      <w:start w:val="1"/>
      <w:numFmt w:val="decimal"/>
      <w:lvlText w:val="%7."/>
      <w:lvlJc w:val="left"/>
      <w:pPr>
        <w:ind w:left="5029" w:hanging="360"/>
      </w:pPr>
    </w:lvl>
    <w:lvl w:ilvl="7" w:tplc="A28C55FA">
      <w:start w:val="1"/>
      <w:numFmt w:val="lowerLetter"/>
      <w:lvlText w:val="%8."/>
      <w:lvlJc w:val="left"/>
      <w:pPr>
        <w:ind w:left="5749" w:hanging="360"/>
      </w:pPr>
    </w:lvl>
    <w:lvl w:ilvl="8" w:tplc="C80887CE">
      <w:start w:val="1"/>
      <w:numFmt w:val="lowerRoman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 w:tplc="FEACD612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hint="default" w:ascii="Symbol" w:hAnsi="Symbol" w:cs="Symbol"/>
      </w:rPr>
    </w:lvl>
    <w:lvl w:ilvl="1" w:tplc="EBFCBF5C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hint="default" w:ascii="Courier New" w:hAnsi="Courier New" w:cs="Courier New"/>
      </w:rPr>
    </w:lvl>
    <w:lvl w:ilvl="2" w:tplc="A51E1598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hint="default" w:ascii="Wingdings" w:hAnsi="Wingdings" w:cs="Wingdings"/>
      </w:rPr>
    </w:lvl>
    <w:lvl w:ilvl="3" w:tplc="AF12DB10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hint="default" w:ascii="Symbol" w:hAnsi="Symbol" w:cs="Symbol"/>
      </w:rPr>
    </w:lvl>
    <w:lvl w:ilvl="4" w:tplc="859C3F4A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hint="default" w:ascii="Courier New" w:hAnsi="Courier New" w:cs="Courier New"/>
      </w:rPr>
    </w:lvl>
    <w:lvl w:ilvl="5" w:tplc="5B506B7C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hint="default" w:ascii="Wingdings" w:hAnsi="Wingdings" w:cs="Wingdings"/>
      </w:rPr>
    </w:lvl>
    <w:lvl w:ilvl="6" w:tplc="CBC4B95C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hint="default" w:ascii="Symbol" w:hAnsi="Symbol" w:cs="Symbol"/>
      </w:rPr>
    </w:lvl>
    <w:lvl w:ilvl="7" w:tplc="94EED9DA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hint="default" w:ascii="Courier New" w:hAnsi="Courier New" w:cs="Courier New"/>
      </w:rPr>
    </w:lvl>
    <w:lvl w:ilvl="8" w:tplc="16B8D4BA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hint="default" w:ascii="Wingdings" w:hAnsi="Wingdings" w:cs="Wingdings"/>
      </w:rPr>
    </w:lvl>
  </w:abstractNum>
  <w:abstractNum w:abstractNumId="30">
    <w:multiLevelType w:val="hybridMultilevel"/>
    <w:lvl w:ilvl="0" w:tplc="E8F48C90">
      <w:start w:val="1"/>
      <w:numFmt w:val="bullet"/>
      <w:lvlText w:val=""/>
      <w:lvlJc w:val="left"/>
      <w:pPr>
        <w:tabs>
          <w:tab w:val="num" w:pos="0"/>
        </w:tabs>
        <w:ind w:left="1485" w:hanging="360"/>
      </w:pPr>
      <w:rPr>
        <w:rFonts w:hint="default" w:ascii="Wingdings" w:hAnsi="Wingdings" w:cs="Wingdings"/>
      </w:rPr>
    </w:lvl>
    <w:lvl w:ilvl="1" w:tplc="1BBA105E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hint="default" w:ascii="Courier New" w:hAnsi="Courier New" w:cs="Courier New"/>
      </w:rPr>
    </w:lvl>
    <w:lvl w:ilvl="2" w:tplc="35E4C216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hint="default" w:ascii="Wingdings" w:hAnsi="Wingdings" w:cs="Wingdings"/>
      </w:rPr>
    </w:lvl>
    <w:lvl w:ilvl="3" w:tplc="561027F2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hint="default" w:ascii="Symbol" w:hAnsi="Symbol" w:cs="Symbol"/>
      </w:rPr>
    </w:lvl>
    <w:lvl w:ilvl="4" w:tplc="F5349706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hint="default" w:ascii="Courier New" w:hAnsi="Courier New" w:cs="Courier New"/>
      </w:rPr>
    </w:lvl>
    <w:lvl w:ilvl="5" w:tplc="4F12CF90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hint="default" w:ascii="Wingdings" w:hAnsi="Wingdings" w:cs="Wingdings"/>
      </w:rPr>
    </w:lvl>
    <w:lvl w:ilvl="6" w:tplc="6B88B38E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hint="default" w:ascii="Symbol" w:hAnsi="Symbol" w:cs="Symbol"/>
      </w:rPr>
    </w:lvl>
    <w:lvl w:ilvl="7" w:tplc="D7F6898A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hint="default" w:ascii="Courier New" w:hAnsi="Courier New" w:cs="Courier New"/>
      </w:rPr>
    </w:lvl>
    <w:lvl w:ilvl="8" w:tplc="DD6645C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hint="default" w:ascii="Wingdings" w:hAnsi="Wingdings" w:cs="Wingdings"/>
      </w:rPr>
    </w:lvl>
  </w:abstractNum>
  <w:abstractNum w:abstractNumId="31">
    <w:multiLevelType w:val="hybridMultilevel"/>
    <w:lvl w:ilvl="0" w:tplc="693A5CEC">
      <w:start w:val="1"/>
      <w:numFmt w:val="bullet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 w:tplc="4EBCDAF2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 w:tplc="0302C45E">
      <w:start w:val="1"/>
      <w:numFmt w:val="bullet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 w:tplc="F8EAED54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 w:tplc="38E86CEE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 w:tplc="50B8FFDE">
      <w:start w:val="1"/>
      <w:numFmt w:val="bullet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 w:tplc="99D60FB0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 w:tplc="4B0C82B2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 w:tplc="833E8A70">
      <w:start w:val="1"/>
      <w:numFmt w:val="bullet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 w:tplc="F0E40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D42070">
      <w:start w:val="1"/>
      <w:numFmt w:val="lowerLetter"/>
      <w:lvlText w:val="%2."/>
      <w:lvlJc w:val="left"/>
      <w:pPr>
        <w:ind w:left="1440" w:hanging="360"/>
      </w:pPr>
    </w:lvl>
    <w:lvl w:ilvl="2" w:tplc="B05C2A86">
      <w:start w:val="1"/>
      <w:numFmt w:val="lowerRoman"/>
      <w:lvlText w:val="%3."/>
      <w:lvlJc w:val="right"/>
      <w:pPr>
        <w:ind w:left="2160" w:hanging="180"/>
      </w:pPr>
    </w:lvl>
    <w:lvl w:ilvl="3" w:tplc="BE6CBA50">
      <w:start w:val="1"/>
      <w:numFmt w:val="decimal"/>
      <w:lvlText w:val="%4."/>
      <w:lvlJc w:val="left"/>
      <w:pPr>
        <w:ind w:left="2880" w:hanging="360"/>
      </w:pPr>
    </w:lvl>
    <w:lvl w:ilvl="4" w:tplc="FDB22C00">
      <w:start w:val="1"/>
      <w:numFmt w:val="lowerLetter"/>
      <w:lvlText w:val="%5."/>
      <w:lvlJc w:val="left"/>
      <w:pPr>
        <w:ind w:left="3600" w:hanging="360"/>
      </w:pPr>
    </w:lvl>
    <w:lvl w:ilvl="5" w:tplc="6D3C2AB0">
      <w:start w:val="1"/>
      <w:numFmt w:val="lowerRoman"/>
      <w:lvlText w:val="%6."/>
      <w:lvlJc w:val="right"/>
      <w:pPr>
        <w:ind w:left="4320" w:hanging="180"/>
      </w:pPr>
    </w:lvl>
    <w:lvl w:ilvl="6" w:tplc="0D502310">
      <w:start w:val="1"/>
      <w:numFmt w:val="decimal"/>
      <w:lvlText w:val="%7."/>
      <w:lvlJc w:val="left"/>
      <w:pPr>
        <w:ind w:left="5040" w:hanging="360"/>
      </w:pPr>
    </w:lvl>
    <w:lvl w:ilvl="7" w:tplc="917E259C">
      <w:start w:val="1"/>
      <w:numFmt w:val="lowerLetter"/>
      <w:lvlText w:val="%8."/>
      <w:lvlJc w:val="left"/>
      <w:pPr>
        <w:ind w:left="5760" w:hanging="360"/>
      </w:pPr>
    </w:lvl>
    <w:lvl w:ilvl="8" w:tplc="51BE6CA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plc="0CEE8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89B84">
      <w:start w:val="1"/>
      <w:numFmt w:val="lowerLetter"/>
      <w:lvlText w:val="%2."/>
      <w:lvlJc w:val="left"/>
      <w:pPr>
        <w:ind w:left="1440" w:hanging="360"/>
      </w:pPr>
    </w:lvl>
    <w:lvl w:ilvl="2" w:tplc="812E5604">
      <w:start w:val="1"/>
      <w:numFmt w:val="lowerRoman"/>
      <w:lvlText w:val="%3."/>
      <w:lvlJc w:val="right"/>
      <w:pPr>
        <w:ind w:left="2160" w:hanging="180"/>
      </w:pPr>
    </w:lvl>
    <w:lvl w:ilvl="3" w:tplc="52D2BBC0">
      <w:start w:val="1"/>
      <w:numFmt w:val="decimal"/>
      <w:lvlText w:val="%4."/>
      <w:lvlJc w:val="left"/>
      <w:pPr>
        <w:ind w:left="2880" w:hanging="360"/>
      </w:pPr>
    </w:lvl>
    <w:lvl w:ilvl="4" w:tplc="5804277C">
      <w:start w:val="1"/>
      <w:numFmt w:val="lowerLetter"/>
      <w:lvlText w:val="%5."/>
      <w:lvlJc w:val="left"/>
      <w:pPr>
        <w:ind w:left="3600" w:hanging="360"/>
      </w:pPr>
    </w:lvl>
    <w:lvl w:ilvl="5" w:tplc="39109C8E">
      <w:start w:val="1"/>
      <w:numFmt w:val="lowerRoman"/>
      <w:lvlText w:val="%6."/>
      <w:lvlJc w:val="right"/>
      <w:pPr>
        <w:ind w:left="4320" w:hanging="180"/>
      </w:pPr>
    </w:lvl>
    <w:lvl w:ilvl="6" w:tplc="8A72DEA0">
      <w:start w:val="1"/>
      <w:numFmt w:val="decimal"/>
      <w:lvlText w:val="%7."/>
      <w:lvlJc w:val="left"/>
      <w:pPr>
        <w:ind w:left="5040" w:hanging="360"/>
      </w:pPr>
    </w:lvl>
    <w:lvl w:ilvl="7" w:tplc="6566946A">
      <w:start w:val="1"/>
      <w:numFmt w:val="lowerLetter"/>
      <w:lvlText w:val="%8."/>
      <w:lvlJc w:val="left"/>
      <w:pPr>
        <w:ind w:left="5760" w:hanging="360"/>
      </w:pPr>
    </w:lvl>
    <w:lvl w:ilvl="8" w:tplc="177EC684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 w:tplc="B67C31B2">
      <w:start w:val="1"/>
      <w:numFmt w:val="bullet"/>
      <w:lvlText w:val=""/>
      <w:lvlJc w:val="left"/>
      <w:pPr>
        <w:tabs>
          <w:tab w:val="num" w:pos="0"/>
        </w:tabs>
        <w:ind w:left="1350" w:hanging="360"/>
      </w:pPr>
      <w:rPr>
        <w:rFonts w:hint="default" w:ascii="Wingdings" w:hAnsi="Wingdings" w:cs="Wingdings"/>
      </w:rPr>
    </w:lvl>
    <w:lvl w:ilvl="1" w:tplc="C8CA9CE0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hint="default" w:ascii="Courier New" w:hAnsi="Courier New" w:cs="Courier New"/>
      </w:rPr>
    </w:lvl>
    <w:lvl w:ilvl="2" w:tplc="AE78E5EC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hint="default" w:ascii="Wingdings" w:hAnsi="Wingdings" w:cs="Wingdings"/>
      </w:rPr>
    </w:lvl>
    <w:lvl w:ilvl="3" w:tplc="4D9609E4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hint="default" w:ascii="Symbol" w:hAnsi="Symbol" w:cs="Symbol"/>
      </w:rPr>
    </w:lvl>
    <w:lvl w:ilvl="4" w:tplc="C2AE3DE2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hint="default" w:ascii="Courier New" w:hAnsi="Courier New" w:cs="Courier New"/>
      </w:rPr>
    </w:lvl>
    <w:lvl w:ilvl="5" w:tplc="8F1ED84C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hint="default" w:ascii="Wingdings" w:hAnsi="Wingdings" w:cs="Wingdings"/>
      </w:rPr>
    </w:lvl>
    <w:lvl w:ilvl="6" w:tplc="655C1A3E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hint="default" w:ascii="Symbol" w:hAnsi="Symbol" w:cs="Symbol"/>
      </w:rPr>
    </w:lvl>
    <w:lvl w:ilvl="7" w:tplc="0F9C2030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hint="default" w:ascii="Courier New" w:hAnsi="Courier New" w:cs="Courier New"/>
      </w:rPr>
    </w:lvl>
    <w:lvl w:ilvl="8" w:tplc="44387DCC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hint="default" w:ascii="Wingdings" w:hAnsi="Wingdings" w:cs="Wingdings"/>
      </w:rPr>
    </w:lvl>
  </w:abstractNum>
  <w:num w:numId="1">
    <w:abstractNumId w:val="29"/>
  </w:num>
  <w:num w:numId="2">
    <w:abstractNumId w:val="26"/>
  </w:num>
  <w:num w:numId="3">
    <w:abstractNumId w:val="23"/>
  </w:num>
  <w:num w:numId="4">
    <w:abstractNumId w:val="21"/>
  </w:num>
  <w:num w:numId="5">
    <w:abstractNumId w:val="30"/>
  </w:num>
  <w:num w:numId="6">
    <w:abstractNumId w:val="34"/>
  </w:num>
  <w:num w:numId="7">
    <w:abstractNumId w:val="17"/>
  </w:num>
  <w:num w:numId="8">
    <w:abstractNumId w:val="2"/>
  </w:num>
  <w:num w:numId="9">
    <w:abstractNumId w:val="27"/>
  </w:num>
  <w:num w:numId="10">
    <w:abstractNumId w:val="15"/>
  </w:num>
  <w:num w:numId="11">
    <w:abstractNumId w:val="7"/>
  </w:num>
  <w:num w:numId="12">
    <w:abstractNumId w:val="11"/>
  </w:num>
  <w:num w:numId="13">
    <w:abstractNumId w:val="13"/>
  </w:num>
  <w:num w:numId="14">
    <w:abstractNumId w:val="1"/>
  </w:num>
  <w:num w:numId="15">
    <w:abstractNumId w:val="19"/>
  </w:num>
  <w:num w:numId="16">
    <w:abstractNumId w:val="14"/>
  </w:num>
  <w:num w:numId="17">
    <w:abstractNumId w:val="24"/>
  </w:num>
  <w:num w:numId="18">
    <w:abstractNumId w:val="16"/>
  </w:num>
  <w:num w:numId="19">
    <w:abstractNumId w:val="20"/>
  </w:num>
  <w:num w:numId="20">
    <w:abstractNumId w:val="31"/>
  </w:num>
  <w:num w:numId="21">
    <w:abstractNumId w:val="10"/>
  </w:num>
  <w:num w:numId="22">
    <w:abstractNumId w:val="25"/>
  </w:num>
  <w:num w:numId="23">
    <w:abstractNumId w:val="3"/>
  </w:num>
  <w:num w:numId="24">
    <w:abstractNumId w:val="32"/>
  </w:num>
  <w:num w:numId="25">
    <w:abstractNumId w:val="4"/>
  </w:num>
  <w:num w:numId="26">
    <w:abstractNumId w:val="18"/>
  </w:num>
  <w:num w:numId="27">
    <w:abstractNumId w:val="33"/>
  </w:num>
  <w:num w:numId="28">
    <w:abstractNumId w:val="22"/>
  </w:num>
  <w:num w:numId="29">
    <w:abstractNumId w:val="8"/>
  </w:num>
  <w:num w:numId="30">
    <w:abstractNumId w:val="12"/>
  </w:num>
  <w:num w:numId="31">
    <w:abstractNumId w:val="5"/>
  </w:num>
  <w:num w:numId="32">
    <w:abstractNumId w:val="28"/>
  </w:num>
  <w:num w:numId="33">
    <w:abstractNumId w:val="9"/>
  </w:num>
  <w:num w:numId="34">
    <w:abstractNumId w:val="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CaptionChar" w:customStyle="1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styleId="Heading1Char" w:customStyle="1">
    <w:name w:val="Heading 1 Char"/>
    <w:basedOn w:val="a0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0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a0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a0"/>
    <w:uiPriority w:val="9"/>
    <w:qFormat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a0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a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a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uiPriority w:val="10"/>
    <w:qFormat/>
    <w:rPr>
      <w:sz w:val="48"/>
      <w:szCs w:val="48"/>
    </w:rPr>
  </w:style>
  <w:style w:type="character" w:styleId="a3" w:customStyle="1">
    <w:name w:val="Подзаголовок Знак"/>
    <w:basedOn w:val="a0"/>
    <w:link w:val="a4"/>
    <w:uiPriority w:val="11"/>
    <w:qFormat/>
    <w:rPr>
      <w:sz w:val="24"/>
      <w:szCs w:val="24"/>
    </w:rPr>
  </w:style>
  <w:style w:type="character" w:styleId="21" w:customStyle="1">
    <w:name w:val="Цитата 2 Знак"/>
    <w:link w:val="22"/>
    <w:uiPriority w:val="29"/>
    <w:qFormat/>
    <w:rPr>
      <w:i/>
    </w:rPr>
  </w:style>
  <w:style w:type="character" w:styleId="a5" w:customStyle="1">
    <w:name w:val="Выделенная цитата Знак"/>
    <w:link w:val="a6"/>
    <w:uiPriority w:val="30"/>
    <w:qFormat/>
    <w:rPr>
      <w:i/>
    </w:rPr>
  </w:style>
  <w:style w:type="character" w:styleId="HeaderChar" w:customStyle="1">
    <w:name w:val="Header Char"/>
    <w:basedOn w:val="a0"/>
    <w:uiPriority w:val="99"/>
    <w:qFormat/>
  </w:style>
  <w:style w:type="character" w:styleId="FooterChar" w:customStyle="1">
    <w:name w:val="Footer Char"/>
    <w:basedOn w:val="a0"/>
    <w:uiPriority w:val="99"/>
    <w:qFormat/>
  </w:style>
  <w:style w:type="character" w:styleId="a7" w:customStyle="1">
    <w:name w:val="Название объекта Знак"/>
    <w:link w:val="a8"/>
    <w:uiPriority w:val="99"/>
    <w:qFormat/>
  </w:style>
  <w:style w:type="character" w:styleId="a9" w:customStyle="1">
    <w:name w:val="Текст сноски Знак"/>
    <w:link w:val="aa"/>
    <w:uiPriority w:val="99"/>
    <w:qFormat/>
    <w:rPr>
      <w:sz w:val="18"/>
    </w:rPr>
  </w:style>
  <w:style w:type="character" w:styleId="ab" w:customStyle="1">
    <w:name w:val="Символ сноски"/>
    <w:basedOn w:val="a0"/>
    <w:uiPriority w:val="99"/>
    <w:unhideWhenUsed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 w:customStyle="1">
    <w:name w:val="Текст концевой сноски Знак"/>
    <w:link w:val="ae"/>
    <w:uiPriority w:val="99"/>
    <w:qFormat/>
    <w:rPr>
      <w:sz w:val="20"/>
    </w:rPr>
  </w:style>
  <w:style w:type="character" w:styleId="af" w:customStyle="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0">
    <w:name w:val="endnote reference"/>
    <w:rPr>
      <w:vertAlign w:val="superscript"/>
    </w:rPr>
  </w:style>
  <w:style w:type="character" w:styleId="af1" w:customStyle="1">
    <w:name w:val="Абзац списка Знак"/>
    <w:basedOn w:val="a0"/>
    <w:link w:val="af2"/>
    <w:uiPriority w:val="34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f3" w:customStyle="1">
    <w:name w:val="Заголовок Знак"/>
    <w:basedOn w:val="a0"/>
    <w:link w:val="af4"/>
    <w:qFormat/>
    <w:rPr>
      <w:rFonts w:ascii="Times New Roman" w:hAnsi="Times New Roman" w:eastAsia="Times New Roman" w:cs="Times New Roman"/>
      <w:bCs/>
      <w:color w:val="000000"/>
      <w:sz w:val="36"/>
      <w:szCs w:val="20"/>
      <w:lang w:eastAsia="ru-RU"/>
    </w:rPr>
  </w:style>
  <w:style w:type="character" w:styleId="af5">
    <w:name w:val="Strong"/>
    <w:basedOn w:val="a0"/>
    <w:uiPriority w:val="22"/>
    <w:qFormat/>
    <w:rPr>
      <w:b/>
      <w:bCs/>
    </w:rPr>
  </w:style>
  <w:style w:type="character" w:styleId="header-phonecaption" w:customStyle="1">
    <w:name w:val="header-phone__caption"/>
    <w:basedOn w:val="a0"/>
    <w:qFormat/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character" w:styleId="12" w:customStyle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7" w:customStyle="1">
    <w:name w:val="Текст выноски Знак"/>
    <w:basedOn w:val="a0"/>
    <w:link w:val="af8"/>
    <w:uiPriority w:val="99"/>
    <w:semiHidden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af9">
    <w:name w:val="line number"/>
    <w:basedOn w:val="a0"/>
    <w:uiPriority w:val="99"/>
    <w:semiHidden/>
    <w:unhideWhenUsed/>
    <w:qFormat/>
  </w:style>
  <w:style w:type="character" w:styleId="afa" w:customStyle="1">
    <w:name w:val="Верхний колонтитул Знак"/>
    <w:basedOn w:val="a0"/>
    <w:link w:val="afb"/>
    <w:uiPriority w:val="99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fc" w:customStyle="1">
    <w:name w:val="Нижний колонтитул Знак"/>
    <w:basedOn w:val="a0"/>
    <w:link w:val="afd"/>
    <w:uiPriority w:val="99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fe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4">
    <w:name w:val="Title"/>
    <w:basedOn w:val="a"/>
    <w:next w:val="aff"/>
    <w:link w:val="af3"/>
    <w:qFormat/>
    <w:pPr>
      <w:spacing w:line="240" w:lineRule="atLeast"/>
      <w:jc w:val="center"/>
    </w:pPr>
    <w:rPr>
      <w:bCs/>
      <w:color w:val="000000"/>
      <w:sz w:val="36"/>
      <w:szCs w:val="20"/>
      <w:lang w:val="ru-RU" w:eastAsia="ru-RU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ascii="PT Astra Serif" w:hAnsi="PT Astra Serif" w:cs="Noto Sans Devanagari"/>
    </w:rPr>
  </w:style>
  <w:style w:type="paragraph" w:styleId="a8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1">
    <w:name w:val="index heading"/>
    <w:basedOn w:val="af4"/>
  </w:style>
  <w:style w:type="paragraph" w:styleId="aff2">
    <w:name w:val="No Spacing"/>
    <w:uiPriority w:val="1"/>
    <w:qFormat/>
  </w:style>
  <w:style w:type="paragraph" w:styleId="a4">
    <w:name w:val="Subtitle"/>
    <w:basedOn w:val="a"/>
    <w:next w:val="a"/>
    <w:link w:val="a3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6">
    <w:name w:val="Intense Quote"/>
    <w:basedOn w:val="a"/>
    <w:next w:val="a"/>
    <w:link w:val="a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3">
    <w:name w:val="TOC Heading"/>
    <w:uiPriority w:val="39"/>
    <w:unhideWhenUsed/>
    <w:pPr>
      <w:spacing w:after="160" w:line="259" w:lineRule="auto"/>
    </w:pPr>
  </w:style>
  <w:style w:type="paragraph" w:styleId="aff4">
    <w:name w:val="table of figures"/>
    <w:basedOn w:val="a"/>
    <w:next w:val="a"/>
    <w:uiPriority w:val="99"/>
    <w:unhideWhenUsed/>
    <w:qFormat/>
  </w:style>
  <w:style w:type="paragraph" w:styleId="af2">
    <w:name w:val="List Paragraph"/>
    <w:basedOn w:val="a"/>
    <w:link w:val="af1"/>
    <w:uiPriority w:val="34"/>
    <w:qFormat/>
    <w:pPr>
      <w:ind w:left="720"/>
      <w:contextualSpacing/>
    </w:pPr>
  </w:style>
  <w:style w:type="paragraph" w:styleId="aff5">
    <w:name w:val="Normal (Web)"/>
    <w:basedOn w:val="a"/>
    <w:uiPriority w:val="99"/>
    <w:unhideWhenUsed/>
    <w:qFormat/>
    <w:rPr>
      <w:lang w:val="ru-RU" w:eastAsia="ru-RU"/>
    </w:rPr>
  </w:style>
  <w:style w:type="paragraph" w:styleId="header-phone" w:customStyle="1">
    <w:name w:val="header-phone"/>
    <w:basedOn w:val="a"/>
    <w:qFormat/>
    <w:pPr>
      <w:spacing w:beforeAutospacing="1" w:afterAutospacing="1"/>
    </w:pPr>
    <w:rPr>
      <w:lang w:val="ru-RU"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6" w:customStyle="1">
    <w:name w:val="Колонтитул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f7">
    <w:name w:val="Revision"/>
    <w:uiPriority w:val="99"/>
    <w:semiHidden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TableGridLight" w:customStyle="1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">
    <w:name w:val="Plain Table 1"/>
    <w:aliases w:val="Заголовок 1 Знак1"/>
    <w:basedOn w:val="a1"/>
    <w:link w:val="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shd w:val="clear" w:color="f2f2f2" w:fill="f2f2f2" w:themeFill="text1" w:themeFillTint="0D"/>
      </w:tcPr>
    </w:tblStylePr>
    <w:tblStylePr w:type="band1Horz"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0">
    <w:name w:val="Plain Table 3"/>
    <w:aliases w:val="Заголовок 3 Знак1"/>
    <w:basedOn w:val="a1"/>
    <w:link w:val="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</w:style>
  <w:style w:type="table" w:styleId="40">
    <w:name w:val="Plain Table 4"/>
    <w:aliases w:val="Заголовок 4 Знак1"/>
    <w:basedOn w:val="a1"/>
    <w:link w:val="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</w:style>
  <w:style w:type="table" w:styleId="50">
    <w:name w:val="Plain Table 5"/>
    <w:aliases w:val="Заголовок 5 Знак1"/>
    <w:basedOn w:val="a1"/>
    <w:link w:val="5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8e2f3" w:fill="ddeaf6" w:themeFill="accent1" w:themeFillTint="34"/>
      </w:tcPr>
    </w:tblStylePr>
    <w:tblStylePr w:type="band1Horz">
      <w:rPr>
        <w:color w:val="404040"/>
        <w:sz w:val="22"/>
      </w:rPr>
      <w:tcPr>
        <w:shd w:val="clear" w:color="d8e2f3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deaf6" w:fill="d8e2f3" w:themeFill="accent5" w:themeFillTint="34"/>
      </w:tcPr>
    </w:tblStylePr>
    <w:tblStylePr w:type="band1Horz">
      <w:rPr>
        <w:color w:val="404040"/>
        <w:sz w:val="22"/>
      </w:rPr>
      <w:tcPr>
        <w:shd w:val="clear" w:color="ddeaf6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d8e2f3" w:fill="ddeaf6" w:themeFill="accent1" w:themeFillTint="34"/>
      </w:tcPr>
    </w:tblStylePr>
    <w:tblStylePr w:type="band1Horz">
      <w:rPr>
        <w:color w:val="404040"/>
        <w:sz w:val="22"/>
      </w:rPr>
      <w:tcPr>
        <w:shd w:val="clear" w:color="d8e2f3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ddeaf6" w:fill="d8e2f3" w:themeFill="accent5" w:themeFillTint="34"/>
      </w:tcPr>
    </w:tblStylePr>
    <w:tblStylePr w:type="band1Horz">
      <w:rPr>
        <w:color w:val="404040"/>
        <w:sz w:val="22"/>
      </w:rPr>
      <w:tcPr>
        <w:shd w:val="clear" w:color="ddeaf6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537dc8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ae3f3" w:fill="deebf6" w:themeFill="accent1" w:themeFillTint="32"/>
      </w:tcPr>
    </w:tblStylePr>
    <w:tblStylePr w:type="band1Horz">
      <w:rPr>
        <w:color w:val="404040"/>
        <w:sz w:val="22"/>
      </w:rPr>
      <w:tcPr>
        <w:shd w:val="clear" w:color="dae3f3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5b9bd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deaf6" w:fill="d8e2f3" w:themeFill="accent5" w:themeFillTint="34"/>
      </w:tcPr>
    </w:tblStylePr>
    <w:tblStylePr w:type="band1Horz">
      <w:rPr>
        <w:color w:val="404040"/>
        <w:sz w:val="22"/>
      </w:rPr>
      <w:tcPr>
        <w:shd w:val="clear" w:color="ddeaf6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a8a8a" w:themeFill="text1" w:themeFillTint="75"/>
      </w:tcPr>
    </w:tblStylePr>
    <w:tblStylePr w:type="band1Horz">
      <w:tcPr>
        <w:shd w:val="clear" w:color="8a8a8a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4472c4" w:fill="5b9bd5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fill="5b9bd5" w:themeFill="accent1"/>
      </w:tcPr>
    </w:tblStylePr>
    <w:tblStylePr w:type="firstCol">
      <w:rPr>
        <w:b/>
        <w:color w:val="ffffff"/>
        <w:sz w:val="22"/>
      </w:rPr>
      <w:tcPr>
        <w:shd w:val="clear" w:color="4472c4" w:fill="5b9bd5" w:themeFill="accent1"/>
      </w:tcPr>
    </w:tblStylePr>
    <w:tblStylePr w:type="lastCol">
      <w:rPr>
        <w:b/>
        <w:color w:val="ffffff"/>
        <w:sz w:val="22"/>
      </w:rPr>
      <w:tcPr>
        <w:shd w:val="clear" w:color="4472c4" w:fill="5b9bd5" w:themeFill="accent1"/>
      </w:tcPr>
    </w:tblStylePr>
    <w:tblStylePr w:type="band1Vert">
      <w:tcPr>
        <w:shd w:val="clear" w:color="a9bee4" w:fill="b3d0eb" w:themeFill="accent1" w:themeFillTint="75"/>
      </w:tcPr>
    </w:tblStylePr>
    <w:tblStylePr w:type="band1Horz">
      <w:tcPr>
        <w:shd w:val="clear" w:color="a9bee4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band1Vert">
      <w:tcPr>
        <w:shd w:val="clear" w:color="f6c3a0" w:fill="f6c3a0" w:themeFill="accent2" w:themeFillTint="75"/>
      </w:tcPr>
    </w:tblStylePr>
    <w:tblStylePr w:type="band1Horz">
      <w:tcPr>
        <w:shd w:val="clear" w:color="f6c3a0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band1Vert">
      <w:tcPr>
        <w:shd w:val="clear" w:color="d5d5d5" w:fill="d5d5d5" w:themeFill="accent3" w:themeFillTint="75"/>
      </w:tcPr>
    </w:tblStylePr>
    <w:tblStylePr w:type="band1Horz">
      <w:tcPr>
        <w:shd w:val="clear" w:color="d5d5d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band1Vert">
      <w:tcPr>
        <w:shd w:val="clear" w:color="ffe28a" w:fill="ffe28a" w:themeFill="accent4" w:themeFillTint="75"/>
      </w:tcPr>
    </w:tblStylePr>
    <w:tblStylePr w:type="band1Horz">
      <w:tcPr>
        <w:shd w:val="clear" w:color="ffe28a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5b9bd5" w:fill="4472c4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fill="4472c4" w:themeFill="accent5"/>
      </w:tcPr>
    </w:tblStylePr>
    <w:tblStylePr w:type="firstCol">
      <w:rPr>
        <w:b/>
        <w:color w:val="ffffff"/>
        <w:sz w:val="22"/>
      </w:rPr>
      <w:tcPr>
        <w:shd w:val="clear" w:color="5b9bd5" w:fill="4472c4" w:themeFill="accent5"/>
      </w:tcPr>
    </w:tblStylePr>
    <w:tblStylePr w:type="lastCol">
      <w:rPr>
        <w:b/>
        <w:color w:val="ffffff"/>
        <w:sz w:val="22"/>
      </w:rPr>
      <w:tcPr>
        <w:shd w:val="clear" w:color="5b9bd5" w:fill="4472c4" w:themeFill="accent5"/>
      </w:tcPr>
    </w:tblStylePr>
    <w:tblStylePr w:type="band1Vert">
      <w:tcPr>
        <w:shd w:val="clear" w:color="b3d0eb" w:fill="a9bee4" w:themeFill="accent5" w:themeFillTint="75"/>
      </w:tcPr>
    </w:tblStylePr>
    <w:tblStylePr w:type="band1Horz">
      <w:tcPr>
        <w:shd w:val="clear" w:color="b3d0eb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band1Vert">
      <w:tcPr>
        <w:shd w:val="clear" w:color="bcdba8" w:fill="bcdba8" w:themeFill="accent6" w:themeFillTint="75"/>
      </w:tcPr>
    </w:tblStylePr>
    <w:tblStylePr w:type="band1Horz"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d8e2f3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cPr>
        <w:shd w:val="clear" w:color="d8e2f3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ddeaf6" w:fill="d8e2f3" w:themeFill="accent5" w:themeFillTint="34"/>
      </w:tcPr>
    </w:tblStylePr>
    <w:tblStylePr w:type="band1Horz">
      <w:rPr>
        <w:color w:val="254175" w:themeColor="accent5" w:themeShade="95"/>
        <w:sz w:val="22"/>
      </w:rPr>
      <w:tcPr>
        <w:shd w:val="clear" w:color="ddeaf6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8e2f3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cPr>
        <w:shd w:val="clear" w:color="d8e2f3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deaf6" w:fill="d8e2f3" w:themeFill="accent5" w:themeFillTint="34"/>
      </w:tcPr>
    </w:tblStylePr>
    <w:tblStylePr w:type="band1Horz">
      <w:rPr>
        <w:color w:val="254175" w:themeColor="accent5" w:themeShade="95"/>
        <w:sz w:val="22"/>
      </w:rPr>
      <w:tcPr>
        <w:shd w:val="clear" w:color="ddeaf6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 w:themeFill="text1" w:themeFillTint="40"/>
      </w:tcPr>
    </w:tblStylePr>
    <w:tblStylePr w:type="band1Horz">
      <w:tcPr>
        <w:shd w:val="clear" w:color="bfbfbf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fill="d5e5f4" w:themeFill="accent1" w:themeFillTint="40"/>
      </w:tcPr>
    </w:tblStylePr>
    <w:tblStylePr w:type="band1Horz">
      <w:tcPr>
        <w:shd w:val="clear" w:color="cfdbf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fill="fadecb" w:themeFill="accent2" w:themeFillTint="40"/>
      </w:tcPr>
    </w:tblStylePr>
    <w:tblStylePr w:type="band1Horz">
      <w:tcPr>
        <w:shd w:val="clear" w:color="fadecb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fill="e8e8e8" w:themeFill="accent3" w:themeFillTint="40"/>
      </w:tcPr>
    </w:tblStylePr>
    <w:tblStylePr w:type="band1Horz">
      <w:tcPr>
        <w:shd w:val="clear" w:color="e8e8e8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fill="ffefbf" w:themeFill="accent4" w:themeFillTint="40"/>
      </w:tcPr>
    </w:tblStylePr>
    <w:tblStylePr w:type="band1Horz">
      <w:tcPr>
        <w:shd w:val="clear" w:color="ffefbf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fill="cfdbf0" w:themeFill="accent5" w:themeFillTint="40"/>
      </w:tcPr>
    </w:tblStylePr>
    <w:tblStylePr w:type="band1Horz">
      <w:tcPr>
        <w:shd w:val="clear" w:color="d5e5f4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fill="daebcf" w:themeFill="accent6" w:themeFillTint="40"/>
      </w:tcPr>
    </w:tblStylePr>
    <w:tblStylePr w:type="band1Horz"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cfdbf0" w:fill="d5e5f4" w:themeFill="accent1" w:themeFillTint="40"/>
      </w:tcPr>
    </w:tblStylePr>
    <w:tblStylePr w:type="band1Horz">
      <w:rPr>
        <w:color w:val="404040"/>
        <w:sz w:val="22"/>
      </w:rPr>
      <w:tcPr>
        <w:shd w:val="clear" w:color="cfdbf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d5e5f4" w:fill="cfdbf0" w:themeFill="accent5" w:themeFillTint="40"/>
      </w:tcPr>
    </w:tblStylePr>
    <w:tblStylePr w:type="band1Horz">
      <w:rPr>
        <w:color w:val="404040"/>
        <w:sz w:val="22"/>
      </w:rPr>
      <w:tcPr>
        <w:shd w:val="clear" w:color="d5e5f4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cPr>
        <w:shd w:val="clear" w:color="4472c4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color w:val="ffffff"/>
        <w:sz w:val="22"/>
      </w:rPr>
      <w:tcPr>
        <w:shd w:val="clear" w:color="9bc2e5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cPr>
        <w:shd w:val="clear" w:color="4472c4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cfdbf0" w:fill="d5e5f4" w:themeFill="accent1" w:themeFillTint="40"/>
      </w:tcPr>
    </w:tblStylePr>
    <w:tblStylePr w:type="band1Horz">
      <w:rPr>
        <w:color w:val="404040"/>
        <w:sz w:val="22"/>
      </w:rPr>
      <w:tcPr>
        <w:shd w:val="clear" w:color="cfdbf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cPr>
        <w:shd w:val="clear" w:color="5b9bd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5e5f4" w:fill="cfdbf0" w:themeFill="accent5" w:themeFillTint="40"/>
      </w:tcPr>
    </w:tblStylePr>
    <w:tblStylePr w:type="band1Horz">
      <w:rPr>
        <w:color w:val="404040"/>
        <w:sz w:val="22"/>
      </w:rPr>
      <w:tcPr>
        <w:shd w:val="clear" w:color="d5e5f4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4472c4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9bc2e5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cfdbf0" w:fill="d5e5f4" w:themeFill="accent1" w:themeFillTint="40"/>
      </w:tcPr>
    </w:tblStylePr>
    <w:tblStylePr w:type="band1Horz">
      <w:rPr>
        <w:color w:val="245a8d" w:themeColor="accent1" w:themeShade="95"/>
        <w:sz w:val="22"/>
      </w:rPr>
      <w:tcPr>
        <w:shd w:val="clear" w:color="cfdbf0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d5e5f4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cPr>
        <w:shd w:val="clear" w:color="d5e5f4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cfdbf0" w:fill="d5e5f4" w:themeFill="accent1" w:themeFillTint="40"/>
      </w:tcPr>
    </w:tblStylePr>
    <w:tblStylePr w:type="band1Horz">
      <w:rPr>
        <w:color w:val="245a8d" w:themeColor="accent1" w:themeShade="95"/>
        <w:sz w:val="22"/>
      </w:rPr>
      <w:tcPr>
        <w:shd w:val="clear" w:color="cfdbf0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5e5f4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cPr>
        <w:shd w:val="clear" w:color="d5e5f4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537dc8" w:fill="68a2d8" w:themeFill="accent1" w:themeFillTint="EA"/>
      </w:tcPr>
    </w:tblStylePr>
    <w:tblStylePr w:type="lastRow">
      <w:rPr>
        <w:color w:val="f2f2f2"/>
        <w:sz w:val="22"/>
      </w:rPr>
      <w:tcPr>
        <w:shd w:val="clear" w:color="537dc8" w:fill="68a2d8" w:themeFill="accent1" w:themeFillTint="EA"/>
      </w:tcPr>
    </w:tblStylePr>
    <w:tblStylePr w:type="firstCol">
      <w:rPr>
        <w:color w:val="f2f2f2"/>
        <w:sz w:val="22"/>
      </w:rPr>
      <w:tcPr>
        <w:shd w:val="clear" w:color="537dc8" w:fill="68a2d8" w:themeFill="accent1" w:themeFillTint="EA"/>
      </w:tcPr>
    </w:tblStylePr>
    <w:tblStylePr w:type="lastCol">
      <w:rPr>
        <w:color w:val="f2f2f2"/>
        <w:sz w:val="22"/>
      </w:rPr>
      <w:tcPr>
        <w:shd w:val="clear" w:color="537dc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c4d2ec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4d2ec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5b9bd5" w:fill="4472c4" w:themeFill="accent5"/>
      </w:tcPr>
    </w:tblStylePr>
    <w:tblStylePr w:type="lastRow">
      <w:rPr>
        <w:color w:val="f2f2f2"/>
        <w:sz w:val="22"/>
      </w:rPr>
      <w:tcPr>
        <w:shd w:val="clear" w:color="5b9bd5" w:fill="4472c4" w:themeFill="accent5"/>
      </w:tcPr>
    </w:tblStylePr>
    <w:tblStylePr w:type="firstCol">
      <w:rPr>
        <w:color w:val="f2f2f2"/>
        <w:sz w:val="22"/>
      </w:rPr>
      <w:tcPr>
        <w:shd w:val="clear" w:color="5b9bd5" w:fill="4472c4" w:themeFill="accent5"/>
      </w:tcPr>
    </w:tblStylePr>
    <w:tblStylePr w:type="lastCol">
      <w:rPr>
        <w:color w:val="f2f2f2"/>
        <w:sz w:val="22"/>
      </w:rPr>
      <w:tcPr>
        <w:shd w:val="clear" w:color="5b9bd5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ddeaf6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deaf6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firstRow">
      <w:rPr>
        <w:color w:val="f2f2f2"/>
        <w:sz w:val="22"/>
      </w:rPr>
      <w:tcPr>
        <w:shd w:val="clear" w:color="537dc8" w:fill="68a2d8" w:themeFill="accent1" w:themeFillTint="EA"/>
      </w:tcPr>
    </w:tblStylePr>
    <w:tblStylePr w:type="lastRow">
      <w:rPr>
        <w:color w:val="f2f2f2"/>
        <w:sz w:val="22"/>
      </w:rPr>
      <w:tcPr>
        <w:shd w:val="clear" w:color="537dc8" w:fill="68a2d8" w:themeFill="accent1" w:themeFillTint="EA"/>
      </w:tcPr>
    </w:tblStylePr>
    <w:tblStylePr w:type="firstCol">
      <w:rPr>
        <w:color w:val="f2f2f2"/>
        <w:sz w:val="22"/>
      </w:rPr>
      <w:tcPr>
        <w:shd w:val="clear" w:color="537dc8" w:fill="68a2d8" w:themeFill="accent1" w:themeFillTint="EA"/>
      </w:tcPr>
    </w:tblStylePr>
    <w:tblStylePr w:type="lastCol">
      <w:rPr>
        <w:color w:val="f2f2f2"/>
        <w:sz w:val="22"/>
      </w:rPr>
      <w:tcPr>
        <w:shd w:val="clear" w:color="537dc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c4d2ec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4d2ec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color w:val="f2f2f2"/>
        <w:sz w:val="22"/>
      </w:rPr>
      <w:tcPr>
        <w:shd w:val="clear" w:color="5b9bd5" w:fill="4472c4" w:themeFill="accent5"/>
      </w:tcPr>
    </w:tblStylePr>
    <w:tblStylePr w:type="lastRow">
      <w:rPr>
        <w:color w:val="f2f2f2"/>
        <w:sz w:val="22"/>
      </w:rPr>
      <w:tcPr>
        <w:shd w:val="clear" w:color="5b9bd5" w:fill="4472c4" w:themeFill="accent5"/>
      </w:tcPr>
    </w:tblStylePr>
    <w:tblStylePr w:type="firstCol">
      <w:rPr>
        <w:color w:val="f2f2f2"/>
        <w:sz w:val="22"/>
      </w:rPr>
      <w:tcPr>
        <w:shd w:val="clear" w:color="5b9bd5" w:fill="4472c4" w:themeFill="accent5"/>
      </w:tcPr>
    </w:tblStylePr>
    <w:tblStylePr w:type="lastCol">
      <w:rPr>
        <w:color w:val="f2f2f2"/>
        <w:sz w:val="22"/>
      </w:rPr>
      <w:tcPr>
        <w:shd w:val="clear" w:color="5b9bd5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ddeaf6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deaf6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8">
    <w:name w:val="Table Grid"/>
    <w:basedOn w:val="a1"/>
    <w:uiPriority w:val="39"/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9">
    <w:name w:val="annotation text"/>
    <w:basedOn w:val="a"/>
    <w:link w:val="affa"/>
    <w:uiPriority w:val="99"/>
    <w:semiHidden/>
    <w:unhideWhenUsed/>
    <w:rPr>
      <w:sz w:val="20"/>
      <w:szCs w:val="20"/>
    </w:rPr>
  </w:style>
  <w:style w:type="character" w:styleId="affa" w:customStyle="1">
    <w:name w:val="Текст примечания Знак"/>
    <w:basedOn w:val="a0"/>
    <w:link w:val="aff9"/>
    <w:uiPriority w:val="99"/>
    <w:semiHidden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affb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se_support@sarenergo.ru" TargetMode="External"/><Relationship Id="rId13" Type="http://schemas.openxmlformats.org/officeDocument/2006/relationships/hyperlink" Target="mailto:office@sarenerg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4472C4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5B9BD5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29C9-B9F8-4720-A0EA-1AA531CB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24045</Characters>
  <CharactersWithSpaces>28207</CharactersWithSpaces>
  <Company/>
  <DocSecurity>0</DocSecurity>
  <HyperlinksChanged>false</HyperlinksChanged>
  <Lines>200</Lines>
  <LinksUpToDate>false</LinksUpToDate>
  <Pages>1</Pages>
  <Paragraphs>56</Paragraphs>
  <ScaleCrop>false</ScaleCrop>
  <SharedDoc>false</SharedDoc>
  <Template>Normal</Template>
  <TotalTime>0</TotalTime>
  <Words>4218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Акулинина Галина Валентиновна</dc:creator>
  <dc:description/>
  <dc:language>ru-RU</dc:language>
  <cp:lastModifiedBy>vasilkov_aa</cp:lastModifiedBy>
  <cp:revision>2</cp:revision>
  <dcterms:created xsi:type="dcterms:W3CDTF">2026-03-20T09:01:00Z</dcterms:created>
  <dcterms:modified xsi:type="dcterms:W3CDTF">2026-03-20T09:01:00Z</dcterms:modified>
</cp:coreProperties>
</file>