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81" w:rsidRPr="00C445E1" w:rsidRDefault="00345181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5181" w:rsidRPr="00C445E1" w:rsidRDefault="00345181" w:rsidP="00C4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</w:t>
      </w:r>
      <w:bookmarkStart w:id="0" w:name="_GoBack"/>
      <w:bookmarkEnd w:id="0"/>
      <w:r w:rsidRPr="00C4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ределения цен (тарифов) на электрическую энергию (мощность) для пятой ценовой категории</w:t>
      </w:r>
    </w:p>
    <w:p w:rsidR="00345181" w:rsidRPr="00C445E1" w:rsidRDefault="00345181" w:rsidP="0034518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bCs/>
          <w:sz w:val="28"/>
          <w:szCs w:val="28"/>
        </w:rPr>
        <w:t>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цены: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ценовых заявок на сутки вперед;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средневзвешенная нерегулируемая цена на мощность на оптовом рынке;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плановым;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фактическим;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определяемая коммерческим оператором оптового рынка за расчетный период;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определяемая коммерческим оператором оптового рынка за расчетный период;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445E1">
        <w:rPr>
          <w:sz w:val="28"/>
          <w:szCs w:val="28"/>
        </w:rPr>
        <w:t>одноставочный</w:t>
      </w:r>
      <w:proofErr w:type="spellEnd"/>
      <w:r w:rsidRPr="00C445E1">
        <w:rPr>
          <w:sz w:val="28"/>
          <w:szCs w:val="28"/>
        </w:rPr>
        <w:t xml:space="preserve"> тариф на услуги по передаче электрической энергии с учетом стоимости нормативных технологических потерь электрической энергии в электрических сетях;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сбытовая надбавка гарантирующего поставщика;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плата за иные услуги, оказание которых является неотъемлемой частью процесса поставки электрической энергии потребителям, определяемая гарантирующим поставщиком в соответствии с пунктом 101 Основных положений.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Указанные составляющие предельного уровня нерегулируемых цен определяются в рублях за мегаватт-час / рублях за мегаватт.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Предельный уровень нерегулируемых цен для пятой ценовой категории включает: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 xml:space="preserve">ставку за электрическую энергию, величина которой определяется равной сумме следующих составляющих: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ценовых заявок на сутки вперед, </w:t>
      </w:r>
      <w:proofErr w:type="spellStart"/>
      <w:r w:rsidRPr="00C445E1">
        <w:rPr>
          <w:sz w:val="28"/>
          <w:szCs w:val="28"/>
        </w:rPr>
        <w:t>одноставочный</w:t>
      </w:r>
      <w:proofErr w:type="spellEnd"/>
      <w:r w:rsidRPr="00C445E1">
        <w:rPr>
          <w:sz w:val="28"/>
          <w:szCs w:val="28"/>
        </w:rPr>
        <w:t xml:space="preserve"> тариф на услуги по передаче электрической энергии с учетом стоимости нормативных технологических потерь электрической энергии в электрических сетях, сбытовая надбавка гарантирующего поставщика, плата за иные услуги, оказание которых является неотъемлемой частью процесса поставки электрической энергии потребителям, определяемая гарантирующим поставщиком в соответствии с пунктом 101 Основных положений;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ставку за электрическую энергию предельного уровня нерегулируемых цен для соответствующей ценовой категории,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(покупателя) в расчетный период, определяемую гарантирующим поставщиком в отношении часа расчетного периода, величина которой определяется равной следующей составляющей: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плановым;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ставку за электрическую энергию предельного уровня нерегулируемых цен для соответствующей ценовой категории,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(покупателя) в расчетный период, определяемую гарантирующим поставщиком в отношении часа расчетного периода, величина которой определяется равной следующей составляющей: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фактическим;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ставку за электрическую энергию предельного уровня нерегулируемых цен для соответствующей ценовой категории,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(покупателя) по нерегулируемой цене за расчетный период, определяемую гарантирующим поставщиком равной абсолютному значению следующей составляющей: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определяемая коммерческим оператором оптового рынка за расчетный период. В случае если данная составляющая имеет положительный знак, то ставка должна применяться в сторону увеличения суммарной стоимости электрической энергии (мощности), приобретенной потребителем (покупателем) по нерегулируемым ценам за расчетный период. Если же данная составляющая имеет отрицательный знак, ставка должна применяться в сторону уменьшения суммарной стоимости электрической энергии (мощности), приобретенной потребителем (покупателем) по нерегулируемым ценам за расчетный период;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ставку за электрическую энергию предельного уровня нерегулируемых цен для соответствующей ценовой категории,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(покупателя) по нерегулируемой цене за расчетный период, определяемую гарантирующим поставщиком равной абсолютному значению следующей составляющей: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определяемая коммерческим оператором оптового рынка за расчетный период. В случае если данная составляющая имеет положительный знак, ставка должна применяться в сторону увеличения суммарной стоимости электрической энергии (мощности), приобретенной потребителем (покупателем) по нерегулируемым ценам за расчетный период. Если же данная составляющая имеет отрицательный знак, то ставка должна применяться в сторону уменьшения суммарной стоимости электрической энергии (мощности), приобретенной потребителем (покупателем) по нерегулируемым ценам за расчетный период;</w:t>
      </w:r>
    </w:p>
    <w:p w:rsidR="002F6119" w:rsidRPr="00C445E1" w:rsidRDefault="002F6119" w:rsidP="003451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E1">
        <w:rPr>
          <w:sz w:val="28"/>
          <w:szCs w:val="28"/>
        </w:rPr>
        <w:t>ставку за мощность, приобретаемую потребителем (покупателем), величина которой определяется равной следующей составляющей: средневзвешенная нерегулируемая цена на мощность на оптовом рынке, в рамках которой ставка за мощность нерегулируемой цены применяется в порядке, предусмотренном пунктом 95 Основных положений.</w:t>
      </w:r>
    </w:p>
    <w:p w:rsidR="00345181" w:rsidRPr="00C445E1" w:rsidRDefault="00345181" w:rsidP="0034518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sectPr w:rsidR="00345181" w:rsidRPr="00C445E1" w:rsidSect="002F61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12.75pt;visibility:visible;mso-wrap-style:square" o:bullet="t">
        <v:imagedata r:id="rId1" o:title=""/>
      </v:shape>
    </w:pict>
  </w:numPicBullet>
  <w:abstractNum w:abstractNumId="0" w15:restartNumberingAfterBreak="0">
    <w:nsid w:val="65C17013"/>
    <w:multiLevelType w:val="hybridMultilevel"/>
    <w:tmpl w:val="B9602B5E"/>
    <w:lvl w:ilvl="0" w:tplc="208AA9E6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36"/>
        <w:szCs w:val="36"/>
      </w:rPr>
    </w:lvl>
    <w:lvl w:ilvl="1" w:tplc="F8AED54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AB4CAEC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7A441BC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AD68EA1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1148767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1ECF5F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E4EBEC6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429CB3D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8E"/>
    <w:rsid w:val="002F6119"/>
    <w:rsid w:val="00345181"/>
    <w:rsid w:val="003A6B8B"/>
    <w:rsid w:val="006C4B8E"/>
    <w:rsid w:val="007B3A6E"/>
    <w:rsid w:val="00A024F9"/>
    <w:rsid w:val="00C13A82"/>
    <w:rsid w:val="00C445E1"/>
    <w:rsid w:val="00D1583C"/>
    <w:rsid w:val="00DF25D2"/>
    <w:rsid w:val="00F7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3BF0E7-AEBD-41C1-8C7C-FC01306E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 Сергей Александрович</dc:creator>
  <cp:keywords/>
  <dc:description/>
  <cp:lastModifiedBy>Елгазина Наталья Сергеевна</cp:lastModifiedBy>
  <cp:revision>2</cp:revision>
  <dcterms:created xsi:type="dcterms:W3CDTF">2019-11-28T09:52:00Z</dcterms:created>
  <dcterms:modified xsi:type="dcterms:W3CDTF">2019-11-28T09:52:00Z</dcterms:modified>
</cp:coreProperties>
</file>