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19" w:rsidRDefault="002F6119"/>
    <w:p w:rsidR="00345181" w:rsidRPr="00154529" w:rsidRDefault="00345181" w:rsidP="0014347D">
      <w:pPr>
        <w:spacing w:after="0" w:line="240" w:lineRule="auto"/>
        <w:jc w:val="center"/>
        <w:rPr>
          <w:rFonts w:ascii="Times New Roman" w:eastAsia="Times New Roman" w:hAnsi="Times New Roman" w:cs="Times New Roman"/>
          <w:b/>
          <w:sz w:val="28"/>
          <w:szCs w:val="28"/>
          <w:lang w:eastAsia="ru-RU"/>
        </w:rPr>
      </w:pPr>
      <w:bookmarkStart w:id="0" w:name="_GoBack"/>
      <w:r w:rsidRPr="00154529">
        <w:rPr>
          <w:rFonts w:ascii="Times New Roman" w:eastAsia="Times New Roman" w:hAnsi="Times New Roman" w:cs="Times New Roman"/>
          <w:b/>
          <w:sz w:val="28"/>
          <w:szCs w:val="28"/>
          <w:lang w:eastAsia="ru-RU"/>
        </w:rPr>
        <w:t>Порядок определения цен (тарифов) на электрическую энергию (мощность) для первой ценовой категории</w:t>
      </w:r>
    </w:p>
    <w:p w:rsidR="00345181" w:rsidRPr="00154529" w:rsidRDefault="00345181" w:rsidP="0014347D">
      <w:pPr>
        <w:spacing w:after="0" w:line="240" w:lineRule="auto"/>
        <w:jc w:val="center"/>
        <w:rPr>
          <w:rFonts w:ascii="Times New Roman" w:eastAsia="Times New Roman" w:hAnsi="Times New Roman" w:cs="Times New Roman"/>
          <w:b/>
          <w:sz w:val="28"/>
          <w:szCs w:val="28"/>
          <w:lang w:eastAsia="ru-RU"/>
        </w:rPr>
      </w:pPr>
    </w:p>
    <w:p w:rsidR="002F6119" w:rsidRPr="00154529" w:rsidRDefault="002F6119" w:rsidP="00345181">
      <w:pPr>
        <w:pStyle w:val="a3"/>
        <w:spacing w:before="0" w:beforeAutospacing="0" w:after="0" w:afterAutospacing="0"/>
        <w:ind w:firstLine="709"/>
        <w:jc w:val="both"/>
        <w:rPr>
          <w:sz w:val="28"/>
          <w:szCs w:val="28"/>
        </w:rPr>
      </w:pPr>
      <w:r w:rsidRPr="00154529">
        <w:rPr>
          <w:bCs/>
          <w:sz w:val="28"/>
          <w:szCs w:val="28"/>
        </w:rPr>
        <w:t>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средневзвешенная нерегулируемая цена на электрическую энергию (мощность);</w:t>
      </w:r>
    </w:p>
    <w:p w:rsidR="002F6119" w:rsidRPr="00154529" w:rsidRDefault="002F6119" w:rsidP="00345181">
      <w:pPr>
        <w:pStyle w:val="a3"/>
        <w:spacing w:before="0" w:beforeAutospacing="0" w:after="0" w:afterAutospacing="0"/>
        <w:ind w:firstLine="709"/>
        <w:jc w:val="both"/>
        <w:rPr>
          <w:sz w:val="28"/>
          <w:szCs w:val="28"/>
        </w:rPr>
      </w:pPr>
      <w:proofErr w:type="spellStart"/>
      <w:r w:rsidRPr="00154529">
        <w:rPr>
          <w:sz w:val="28"/>
          <w:szCs w:val="28"/>
        </w:rPr>
        <w:t>одноставочный</w:t>
      </w:r>
      <w:proofErr w:type="spellEnd"/>
      <w:r w:rsidRPr="00154529">
        <w:rPr>
          <w:sz w:val="28"/>
          <w:szCs w:val="28"/>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сбытовая надбавка гарантирующего поставщика;</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Основных положений.</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Указанные составляющие предельного уровня нерегулируемых цен определяются в рублях за мегаватт-час.</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Предельный уровень нерегулируемых цен для первой ценовой категории</w:t>
      </w:r>
      <w:r w:rsidRPr="00154529">
        <w:rPr>
          <w:b/>
          <w:bCs/>
          <w:sz w:val="28"/>
          <w:szCs w:val="28"/>
        </w:rPr>
        <w:t xml:space="preserve"> </w:t>
      </w:r>
      <w:r w:rsidRPr="00154529">
        <w:rPr>
          <w:sz w:val="28"/>
          <w:szCs w:val="28"/>
        </w:rPr>
        <w:t xml:space="preserve">определяется в </w:t>
      </w:r>
      <w:proofErr w:type="spellStart"/>
      <w:r w:rsidRPr="00154529">
        <w:rPr>
          <w:sz w:val="28"/>
          <w:szCs w:val="28"/>
        </w:rPr>
        <w:t>одноставочном</w:t>
      </w:r>
      <w:proofErr w:type="spellEnd"/>
      <w:r w:rsidRPr="00154529">
        <w:rPr>
          <w:sz w:val="28"/>
          <w:szCs w:val="28"/>
        </w:rPr>
        <w:t xml:space="preserve"> выражении как сумма указанных составляющих предельного уровня нерегулируемых цен.</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пунктом 100 Основных положений;</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Основных положений, и коэффициента оплаты мощности потребителями (покупателями), осуществляющими расчеты по первой ценовой категории.</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Правилами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w:t>
      </w:r>
      <w:proofErr w:type="spellStart"/>
      <w:r w:rsidRPr="00154529">
        <w:rPr>
          <w:sz w:val="28"/>
          <w:szCs w:val="28"/>
        </w:rPr>
        <w:t>энергопринимающие</w:t>
      </w:r>
      <w:proofErr w:type="spellEnd"/>
      <w:r w:rsidRPr="00154529">
        <w:rPr>
          <w:sz w:val="28"/>
          <w:szCs w:val="28"/>
        </w:rPr>
        <w:t xml:space="preserve"> устройства которых расположены в зоне деятельности </w:t>
      </w:r>
      <w:r w:rsidRPr="00154529">
        <w:rPr>
          <w:sz w:val="28"/>
          <w:szCs w:val="28"/>
        </w:rPr>
        <w:lastRenderedPageBreak/>
        <w:t>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Правилами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w:t>
      </w:r>
      <w:proofErr w:type="spellStart"/>
      <w:r w:rsidRPr="00154529">
        <w:rPr>
          <w:sz w:val="28"/>
          <w:szCs w:val="28"/>
        </w:rPr>
        <w:t>энергопринимающие</w:t>
      </w:r>
      <w:proofErr w:type="spellEnd"/>
      <w:r w:rsidRPr="00154529">
        <w:rPr>
          <w:sz w:val="28"/>
          <w:szCs w:val="28"/>
        </w:rPr>
        <w:t xml:space="preserve">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пункте 95 Основных положений, которые публикуются коммерческим оператором оптового рынка в соответствии с Правилами оптового рынка.</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разделом X Основных положений.</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w:t>
      </w:r>
      <w:r w:rsidRPr="00154529">
        <w:rPr>
          <w:sz w:val="28"/>
          <w:szCs w:val="28"/>
        </w:rPr>
        <w:lastRenderedPageBreak/>
        <w:t>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энергию (мощность) и Правилами оптового рынка.</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пунктом 95 Основных положений величин мощности, оплачиваемой потребителями (покупателями), осуществляющими расчеты по третьей - шестой ценовым категориям.</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разделом X Основных положений и используемых при расчете цены.</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 xml:space="preserve">Средневзвешенная нерегулируемая цена на электрическую энергию (мощность) в отношении потребителей (покупателей), осуществляющих </w:t>
      </w:r>
      <w:r w:rsidRPr="00154529">
        <w:rPr>
          <w:sz w:val="28"/>
          <w:szCs w:val="28"/>
        </w:rPr>
        <w:lastRenderedPageBreak/>
        <w:t>расчеты по первой ценовой категории, определяется за расчетный период в соответствии с Правилами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изменение объемов покупки либо ценовой категории потребителя (покупателя) гарантирующего поставщика на основании решения суда;</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 xml:space="preserve">выявление факта </w:t>
      </w:r>
      <w:proofErr w:type="spellStart"/>
      <w:r w:rsidRPr="00154529">
        <w:rPr>
          <w:sz w:val="28"/>
          <w:szCs w:val="28"/>
        </w:rPr>
        <w:t>безучетного</w:t>
      </w:r>
      <w:proofErr w:type="spellEnd"/>
      <w:r w:rsidRPr="00154529">
        <w:rPr>
          <w:sz w:val="28"/>
          <w:szCs w:val="28"/>
        </w:rPr>
        <w:t xml:space="preserve"> потребления, подтвержденного актом о неучтенном потреблении электрической энергии, составленным в порядке, предусмотренном разделом X Основных положений;</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изменение составляющих предельных уровней нерегулируемых цен и иных параметров расчета, указанных в пунктах 183 и 184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 рынка, за расчетный период.</w:t>
      </w:r>
    </w:p>
    <w:p w:rsidR="002F6119" w:rsidRPr="00154529" w:rsidRDefault="002F6119" w:rsidP="00345181">
      <w:pPr>
        <w:pStyle w:val="a3"/>
        <w:spacing w:before="0" w:beforeAutospacing="0" w:after="0" w:afterAutospacing="0"/>
        <w:ind w:firstLine="709"/>
        <w:jc w:val="both"/>
        <w:rPr>
          <w:sz w:val="28"/>
          <w:szCs w:val="28"/>
        </w:rPr>
      </w:pPr>
      <w:r w:rsidRPr="00154529">
        <w:rPr>
          <w:sz w:val="28"/>
          <w:szCs w:val="28"/>
        </w:rPr>
        <w:t>Средневзвешенные нерегулируемые цены электрической энергии (мощности) за предыдущие расчетные периоды изменению и перерасчету не подлежат.</w:t>
      </w:r>
    </w:p>
    <w:bookmarkEnd w:id="0"/>
    <w:p w:rsidR="00345181" w:rsidRPr="00154529" w:rsidRDefault="00345181" w:rsidP="00345181">
      <w:pPr>
        <w:spacing w:after="0" w:line="240" w:lineRule="auto"/>
        <w:rPr>
          <w:rFonts w:ascii="Times New Roman" w:eastAsia="Times New Roman" w:hAnsi="Times New Roman" w:cs="Times New Roman"/>
          <w:b/>
          <w:sz w:val="28"/>
          <w:szCs w:val="28"/>
          <w:lang w:eastAsia="ru-RU"/>
        </w:rPr>
      </w:pPr>
    </w:p>
    <w:sectPr w:rsidR="00345181" w:rsidRPr="00154529" w:rsidSect="002F611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12.75pt;visibility:visible;mso-wrap-style:square" o:bullet="t">
        <v:imagedata r:id="rId1" o:title=""/>
      </v:shape>
    </w:pict>
  </w:numPicBullet>
  <w:abstractNum w:abstractNumId="0" w15:restartNumberingAfterBreak="0">
    <w:nsid w:val="65C17013"/>
    <w:multiLevelType w:val="hybridMultilevel"/>
    <w:tmpl w:val="B9602B5E"/>
    <w:lvl w:ilvl="0" w:tplc="208AA9E6">
      <w:start w:val="1"/>
      <w:numFmt w:val="bullet"/>
      <w:lvlText w:val=""/>
      <w:lvlPicBulletId w:val="0"/>
      <w:lvlJc w:val="left"/>
      <w:pPr>
        <w:tabs>
          <w:tab w:val="num" w:pos="786"/>
        </w:tabs>
        <w:ind w:left="786" w:hanging="360"/>
      </w:pPr>
      <w:rPr>
        <w:rFonts w:ascii="Symbol" w:hAnsi="Symbol" w:hint="default"/>
        <w:sz w:val="36"/>
        <w:szCs w:val="36"/>
      </w:rPr>
    </w:lvl>
    <w:lvl w:ilvl="1" w:tplc="F8AED544" w:tentative="1">
      <w:start w:val="1"/>
      <w:numFmt w:val="bullet"/>
      <w:lvlText w:val=""/>
      <w:lvlJc w:val="left"/>
      <w:pPr>
        <w:tabs>
          <w:tab w:val="num" w:pos="1506"/>
        </w:tabs>
        <w:ind w:left="1506" w:hanging="360"/>
      </w:pPr>
      <w:rPr>
        <w:rFonts w:ascii="Symbol" w:hAnsi="Symbol" w:hint="default"/>
      </w:rPr>
    </w:lvl>
    <w:lvl w:ilvl="2" w:tplc="2AB4CAEC" w:tentative="1">
      <w:start w:val="1"/>
      <w:numFmt w:val="bullet"/>
      <w:lvlText w:val=""/>
      <w:lvlJc w:val="left"/>
      <w:pPr>
        <w:tabs>
          <w:tab w:val="num" w:pos="2226"/>
        </w:tabs>
        <w:ind w:left="2226" w:hanging="360"/>
      </w:pPr>
      <w:rPr>
        <w:rFonts w:ascii="Symbol" w:hAnsi="Symbol" w:hint="default"/>
      </w:rPr>
    </w:lvl>
    <w:lvl w:ilvl="3" w:tplc="7A441BCC" w:tentative="1">
      <w:start w:val="1"/>
      <w:numFmt w:val="bullet"/>
      <w:lvlText w:val=""/>
      <w:lvlJc w:val="left"/>
      <w:pPr>
        <w:tabs>
          <w:tab w:val="num" w:pos="2946"/>
        </w:tabs>
        <w:ind w:left="2946" w:hanging="360"/>
      </w:pPr>
      <w:rPr>
        <w:rFonts w:ascii="Symbol" w:hAnsi="Symbol" w:hint="default"/>
      </w:rPr>
    </w:lvl>
    <w:lvl w:ilvl="4" w:tplc="AD68EA10" w:tentative="1">
      <w:start w:val="1"/>
      <w:numFmt w:val="bullet"/>
      <w:lvlText w:val=""/>
      <w:lvlJc w:val="left"/>
      <w:pPr>
        <w:tabs>
          <w:tab w:val="num" w:pos="3666"/>
        </w:tabs>
        <w:ind w:left="3666" w:hanging="360"/>
      </w:pPr>
      <w:rPr>
        <w:rFonts w:ascii="Symbol" w:hAnsi="Symbol" w:hint="default"/>
      </w:rPr>
    </w:lvl>
    <w:lvl w:ilvl="5" w:tplc="11487672" w:tentative="1">
      <w:start w:val="1"/>
      <w:numFmt w:val="bullet"/>
      <w:lvlText w:val=""/>
      <w:lvlJc w:val="left"/>
      <w:pPr>
        <w:tabs>
          <w:tab w:val="num" w:pos="4386"/>
        </w:tabs>
        <w:ind w:left="4386" w:hanging="360"/>
      </w:pPr>
      <w:rPr>
        <w:rFonts w:ascii="Symbol" w:hAnsi="Symbol" w:hint="default"/>
      </w:rPr>
    </w:lvl>
    <w:lvl w:ilvl="6" w:tplc="71ECF5FA" w:tentative="1">
      <w:start w:val="1"/>
      <w:numFmt w:val="bullet"/>
      <w:lvlText w:val=""/>
      <w:lvlJc w:val="left"/>
      <w:pPr>
        <w:tabs>
          <w:tab w:val="num" w:pos="5106"/>
        </w:tabs>
        <w:ind w:left="5106" w:hanging="360"/>
      </w:pPr>
      <w:rPr>
        <w:rFonts w:ascii="Symbol" w:hAnsi="Symbol" w:hint="default"/>
      </w:rPr>
    </w:lvl>
    <w:lvl w:ilvl="7" w:tplc="FE4EBEC6" w:tentative="1">
      <w:start w:val="1"/>
      <w:numFmt w:val="bullet"/>
      <w:lvlText w:val=""/>
      <w:lvlJc w:val="left"/>
      <w:pPr>
        <w:tabs>
          <w:tab w:val="num" w:pos="5826"/>
        </w:tabs>
        <w:ind w:left="5826" w:hanging="360"/>
      </w:pPr>
      <w:rPr>
        <w:rFonts w:ascii="Symbol" w:hAnsi="Symbol" w:hint="default"/>
      </w:rPr>
    </w:lvl>
    <w:lvl w:ilvl="8" w:tplc="429CB3D8" w:tentative="1">
      <w:start w:val="1"/>
      <w:numFmt w:val="bullet"/>
      <w:lvlText w:val=""/>
      <w:lvlJc w:val="left"/>
      <w:pPr>
        <w:tabs>
          <w:tab w:val="num" w:pos="6546"/>
        </w:tabs>
        <w:ind w:left="654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8E"/>
    <w:rsid w:val="0014347D"/>
    <w:rsid w:val="00154529"/>
    <w:rsid w:val="002F6119"/>
    <w:rsid w:val="00345181"/>
    <w:rsid w:val="003A6B8B"/>
    <w:rsid w:val="003D201F"/>
    <w:rsid w:val="006C4B8E"/>
    <w:rsid w:val="00A024F9"/>
    <w:rsid w:val="00C13A82"/>
    <w:rsid w:val="00D1583C"/>
    <w:rsid w:val="00DF25D2"/>
    <w:rsid w:val="00F7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E3BF0E7-AEBD-41C1-8C7C-FC01306E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6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48897">
      <w:bodyDiv w:val="1"/>
      <w:marLeft w:val="0"/>
      <w:marRight w:val="0"/>
      <w:marTop w:val="0"/>
      <w:marBottom w:val="0"/>
      <w:divBdr>
        <w:top w:val="none" w:sz="0" w:space="0" w:color="auto"/>
        <w:left w:val="none" w:sz="0" w:space="0" w:color="auto"/>
        <w:bottom w:val="none" w:sz="0" w:space="0" w:color="auto"/>
        <w:right w:val="none" w:sz="0" w:space="0" w:color="auto"/>
      </w:divBdr>
    </w:div>
    <w:div w:id="755202841">
      <w:bodyDiv w:val="1"/>
      <w:marLeft w:val="0"/>
      <w:marRight w:val="0"/>
      <w:marTop w:val="0"/>
      <w:marBottom w:val="0"/>
      <w:divBdr>
        <w:top w:val="none" w:sz="0" w:space="0" w:color="auto"/>
        <w:left w:val="none" w:sz="0" w:space="0" w:color="auto"/>
        <w:bottom w:val="none" w:sz="0" w:space="0" w:color="auto"/>
        <w:right w:val="none" w:sz="0" w:space="0" w:color="auto"/>
      </w:divBdr>
    </w:div>
    <w:div w:id="844590198">
      <w:bodyDiv w:val="1"/>
      <w:marLeft w:val="0"/>
      <w:marRight w:val="0"/>
      <w:marTop w:val="0"/>
      <w:marBottom w:val="0"/>
      <w:divBdr>
        <w:top w:val="none" w:sz="0" w:space="0" w:color="auto"/>
        <w:left w:val="none" w:sz="0" w:space="0" w:color="auto"/>
        <w:bottom w:val="none" w:sz="0" w:space="0" w:color="auto"/>
        <w:right w:val="none" w:sz="0" w:space="0" w:color="auto"/>
      </w:divBdr>
    </w:div>
    <w:div w:id="1023550817">
      <w:bodyDiv w:val="1"/>
      <w:marLeft w:val="0"/>
      <w:marRight w:val="0"/>
      <w:marTop w:val="0"/>
      <w:marBottom w:val="0"/>
      <w:divBdr>
        <w:top w:val="none" w:sz="0" w:space="0" w:color="auto"/>
        <w:left w:val="none" w:sz="0" w:space="0" w:color="auto"/>
        <w:bottom w:val="none" w:sz="0" w:space="0" w:color="auto"/>
        <w:right w:val="none" w:sz="0" w:space="0" w:color="auto"/>
      </w:divBdr>
    </w:div>
    <w:div w:id="1389111352">
      <w:bodyDiv w:val="1"/>
      <w:marLeft w:val="0"/>
      <w:marRight w:val="0"/>
      <w:marTop w:val="0"/>
      <w:marBottom w:val="0"/>
      <w:divBdr>
        <w:top w:val="none" w:sz="0" w:space="0" w:color="auto"/>
        <w:left w:val="none" w:sz="0" w:space="0" w:color="auto"/>
        <w:bottom w:val="none" w:sz="0" w:space="0" w:color="auto"/>
        <w:right w:val="none" w:sz="0" w:space="0" w:color="auto"/>
      </w:divBdr>
    </w:div>
    <w:div w:id="1486242167">
      <w:bodyDiv w:val="1"/>
      <w:marLeft w:val="0"/>
      <w:marRight w:val="0"/>
      <w:marTop w:val="0"/>
      <w:marBottom w:val="0"/>
      <w:divBdr>
        <w:top w:val="none" w:sz="0" w:space="0" w:color="auto"/>
        <w:left w:val="none" w:sz="0" w:space="0" w:color="auto"/>
        <w:bottom w:val="none" w:sz="0" w:space="0" w:color="auto"/>
        <w:right w:val="none" w:sz="0" w:space="0" w:color="auto"/>
      </w:divBdr>
    </w:div>
    <w:div w:id="1608123632">
      <w:bodyDiv w:val="1"/>
      <w:marLeft w:val="0"/>
      <w:marRight w:val="0"/>
      <w:marTop w:val="0"/>
      <w:marBottom w:val="0"/>
      <w:divBdr>
        <w:top w:val="none" w:sz="0" w:space="0" w:color="auto"/>
        <w:left w:val="none" w:sz="0" w:space="0" w:color="auto"/>
        <w:bottom w:val="none" w:sz="0" w:space="0" w:color="auto"/>
        <w:right w:val="none" w:sz="0" w:space="0" w:color="auto"/>
      </w:divBdr>
    </w:div>
    <w:div w:id="21164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HQ-SCCM01</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Портнов Сергей Александрович</dc:creator>
  <cp:keywords/>
  <dc:description/>
  <cp:lastModifiedBy>Елгазина Наталья Сергеевна</cp:lastModifiedBy>
  <cp:revision>3</cp:revision>
  <dcterms:created xsi:type="dcterms:W3CDTF">2019-11-28T09:49:00Z</dcterms:created>
  <dcterms:modified xsi:type="dcterms:W3CDTF">2019-11-28T10:00:00Z</dcterms:modified>
</cp:coreProperties>
</file>